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597" w:rsidRPr="00DE24F8" w:rsidRDefault="00FE3597" w:rsidP="00FE3597">
      <w:pPr>
        <w:spacing w:line="240" w:lineRule="auto"/>
        <w:jc w:val="center"/>
        <w:rPr>
          <w:rFonts w:asciiTheme="majorBidi" w:eastAsia="Times New Roman" w:hAnsiTheme="majorBidi" w:cstheme="majorBidi"/>
          <w:b/>
          <w:bCs/>
          <w:sz w:val="28"/>
          <w:szCs w:val="28"/>
        </w:rPr>
      </w:pPr>
    </w:p>
    <w:p w:rsidR="00AF32C9" w:rsidRPr="00192597" w:rsidRDefault="00AF32C9" w:rsidP="00AF32C9">
      <w:pPr>
        <w:jc w:val="center"/>
        <w:rPr>
          <w:rFonts w:asciiTheme="majorBidi" w:hAnsiTheme="majorBidi" w:cstheme="majorBidi"/>
          <w:b/>
          <w:bCs/>
          <w:sz w:val="28"/>
          <w:szCs w:val="28"/>
          <w:lang w:val="en-US"/>
        </w:rPr>
      </w:pPr>
      <w:r w:rsidRPr="00AF32C9">
        <w:rPr>
          <w:rFonts w:asciiTheme="majorBidi" w:hAnsiTheme="majorBidi" w:cstheme="majorBidi"/>
          <w:sz w:val="24"/>
          <w:szCs w:val="24"/>
          <w:lang w:val="en-US"/>
        </w:rPr>
        <w:t>--</w:t>
      </w:r>
      <w:r w:rsidRPr="00AF32C9">
        <w:rPr>
          <w:rFonts w:asciiTheme="majorBidi" w:hAnsiTheme="majorBidi" w:cstheme="majorBidi"/>
          <w:b/>
          <w:bCs/>
          <w:sz w:val="28"/>
          <w:szCs w:val="28"/>
          <w:lang w:val="en-US"/>
        </w:rPr>
        <w:t xml:space="preserve"> </w:t>
      </w:r>
      <w:r w:rsidRPr="00192597">
        <w:rPr>
          <w:rFonts w:asciiTheme="majorBidi" w:hAnsiTheme="majorBidi" w:cstheme="majorBidi"/>
          <w:b/>
          <w:bCs/>
          <w:sz w:val="28"/>
          <w:szCs w:val="28"/>
          <w:lang w:val="en-US"/>
        </w:rPr>
        <w:t>Corporate Social Responsibility and Accounting Manipulation: A Two-Pronged Analysis of Current Insights</w:t>
      </w:r>
    </w:p>
    <w:p w:rsidR="00EB4623" w:rsidRPr="00AF32C9" w:rsidRDefault="00EB4623" w:rsidP="00EB4623">
      <w:pPr>
        <w:spacing w:line="240" w:lineRule="auto"/>
        <w:rPr>
          <w:rFonts w:asciiTheme="majorBidi" w:hAnsiTheme="majorBidi" w:cstheme="majorBidi"/>
          <w:b/>
          <w:bCs/>
          <w:sz w:val="24"/>
          <w:szCs w:val="24"/>
          <w:lang w:val="en-US"/>
        </w:rPr>
      </w:pPr>
    </w:p>
    <w:p w:rsidR="00EB4623" w:rsidRPr="00AF32C9" w:rsidRDefault="00EB4623" w:rsidP="006E54E6">
      <w:pPr>
        <w:spacing w:line="240" w:lineRule="auto"/>
        <w:rPr>
          <w:rFonts w:asciiTheme="majorBidi" w:hAnsiTheme="majorBidi" w:cstheme="majorBidi"/>
          <w:b/>
          <w:bCs/>
          <w:sz w:val="24"/>
          <w:szCs w:val="24"/>
          <w:lang w:val="en-US"/>
        </w:rPr>
      </w:pPr>
    </w:p>
    <w:p w:rsidR="00EB4623" w:rsidRPr="00AF32C9" w:rsidRDefault="00EB4623" w:rsidP="00EB4623">
      <w:pPr>
        <w:spacing w:line="240" w:lineRule="auto"/>
        <w:jc w:val="center"/>
        <w:rPr>
          <w:rFonts w:asciiTheme="majorBidi" w:hAnsiTheme="majorBidi" w:cstheme="majorBidi"/>
          <w:b/>
          <w:bCs/>
          <w:sz w:val="24"/>
          <w:szCs w:val="24"/>
          <w:lang w:val="en-US"/>
        </w:rPr>
      </w:pPr>
    </w:p>
    <w:p w:rsidR="006E54E6" w:rsidRDefault="006E54E6" w:rsidP="006E54E6">
      <w:pPr>
        <w:spacing w:line="240" w:lineRule="auto"/>
        <w:jc w:val="center"/>
        <w:rPr>
          <w:rFonts w:ascii="Times New Roman" w:eastAsia="Calibri" w:hAnsi="Times New Roman" w:cs="Times New Roman"/>
          <w:b/>
          <w:sz w:val="24"/>
          <w:szCs w:val="24"/>
          <w:lang w:val="en-US"/>
        </w:rPr>
      </w:pPr>
      <w:bookmarkStart w:id="0" w:name="_Hlk135858273"/>
      <w:r w:rsidRPr="003568E3">
        <w:rPr>
          <w:rFonts w:ascii="Times New Roman" w:eastAsia="Calibri" w:hAnsi="Times New Roman" w:cs="Times New Roman"/>
          <w:b/>
          <w:sz w:val="24"/>
          <w:szCs w:val="24"/>
          <w:lang w:val="en-US"/>
        </w:rPr>
        <w:t>Emna ELLEUCH</w:t>
      </w:r>
    </w:p>
    <w:bookmarkEnd w:id="0"/>
    <w:p w:rsidR="006E54E6" w:rsidRPr="003568E3" w:rsidRDefault="006E54E6" w:rsidP="006E54E6">
      <w:pPr>
        <w:spacing w:line="240" w:lineRule="auto"/>
        <w:jc w:val="center"/>
        <w:rPr>
          <w:rFonts w:ascii="Times New Roman" w:eastAsia="Calibri" w:hAnsi="Times New Roman" w:cs="Times New Roman"/>
          <w:b/>
          <w:sz w:val="24"/>
          <w:szCs w:val="24"/>
          <w:lang w:val="en-US"/>
        </w:rPr>
      </w:pPr>
    </w:p>
    <w:p w:rsidR="006E54E6" w:rsidRPr="003568E3" w:rsidRDefault="006E54E6" w:rsidP="006E54E6">
      <w:pPr>
        <w:spacing w:line="240" w:lineRule="auto"/>
        <w:jc w:val="center"/>
        <w:rPr>
          <w:rFonts w:ascii="Times New Roman" w:eastAsia="Calibri" w:hAnsi="Times New Roman" w:cs="Times New Roman"/>
          <w:sz w:val="24"/>
          <w:szCs w:val="24"/>
          <w:lang w:val="en-US"/>
        </w:rPr>
      </w:pPr>
      <w:r w:rsidRPr="003568E3">
        <w:rPr>
          <w:rFonts w:ascii="Times New Roman" w:eastAsia="Calibri" w:hAnsi="Times New Roman" w:cs="Times New Roman"/>
          <w:sz w:val="24"/>
          <w:szCs w:val="24"/>
          <w:lang w:val="en-US"/>
        </w:rPr>
        <w:t xml:space="preserve">Doctor in finance and accounting </w:t>
      </w:r>
    </w:p>
    <w:p w:rsidR="006E54E6" w:rsidRDefault="006E54E6" w:rsidP="006E54E6">
      <w:pPr>
        <w:spacing w:line="240" w:lineRule="auto"/>
        <w:jc w:val="center"/>
        <w:rPr>
          <w:rFonts w:ascii="Times New Roman" w:eastAsia="Calibri" w:hAnsi="Times New Roman" w:cs="Times New Roman"/>
          <w:sz w:val="24"/>
          <w:szCs w:val="24"/>
          <w:lang w:val="en-US"/>
        </w:rPr>
      </w:pPr>
      <w:hyperlink r:id="rId8" w:history="1">
        <w:r w:rsidRPr="00526D88">
          <w:rPr>
            <w:rFonts w:ascii="Times New Roman" w:eastAsia="Calibri" w:hAnsi="Times New Roman" w:cs="Times New Roman"/>
            <w:sz w:val="24"/>
            <w:szCs w:val="24"/>
            <w:lang w:val="en-US"/>
          </w:rPr>
          <w:t>Faculty of Economics and Management of Sfax</w:t>
        </w:r>
      </w:hyperlink>
      <w:r w:rsidRPr="00F42CF2">
        <w:rPr>
          <w:rFonts w:ascii="Times New Roman" w:eastAsia="Calibri" w:hAnsi="Times New Roman" w:cs="Times New Roman"/>
          <w:sz w:val="24"/>
          <w:szCs w:val="24"/>
          <w:lang w:val="en-US"/>
        </w:rPr>
        <w:t>,</w:t>
      </w:r>
    </w:p>
    <w:p w:rsidR="006E54E6" w:rsidRPr="002F74C5" w:rsidRDefault="006E54E6" w:rsidP="006E54E6">
      <w:pPr>
        <w:spacing w:line="240" w:lineRule="auto"/>
        <w:jc w:val="center"/>
        <w:rPr>
          <w:rFonts w:ascii="Times New Roman" w:eastAsia="Calibri" w:hAnsi="Times New Roman" w:cs="Times New Roman"/>
          <w:sz w:val="24"/>
          <w:szCs w:val="24"/>
          <w:lang w:val="en-US"/>
        </w:rPr>
      </w:pPr>
    </w:p>
    <w:p w:rsidR="006E54E6" w:rsidRPr="002F74C5" w:rsidRDefault="006E54E6" w:rsidP="006E54E6">
      <w:pPr>
        <w:widowControl w:val="0"/>
        <w:spacing w:line="240" w:lineRule="auto"/>
        <w:ind w:left="998" w:right="992"/>
        <w:jc w:val="center"/>
        <w:outlineLvl w:val="0"/>
        <w:rPr>
          <w:rFonts w:ascii="Times New Roman" w:eastAsia="Calibri" w:hAnsi="Times New Roman" w:cs="Times New Roman"/>
          <w:sz w:val="24"/>
          <w:szCs w:val="24"/>
          <w:lang w:val="en-US"/>
        </w:rPr>
      </w:pPr>
      <w:r w:rsidRPr="002F74C5">
        <w:rPr>
          <w:rFonts w:ascii="Times New Roman" w:eastAsia="Calibri" w:hAnsi="Times New Roman" w:cs="Times New Roman"/>
          <w:sz w:val="24"/>
          <w:szCs w:val="24"/>
          <w:lang w:val="en-US"/>
        </w:rPr>
        <w:t>University of Sfax, Tunisia</w:t>
      </w:r>
    </w:p>
    <w:p w:rsidR="006E54E6" w:rsidRPr="002F74C5" w:rsidRDefault="006E54E6" w:rsidP="006E54E6">
      <w:pPr>
        <w:autoSpaceDE w:val="0"/>
        <w:autoSpaceDN w:val="0"/>
        <w:adjustRightInd w:val="0"/>
        <w:spacing w:line="240" w:lineRule="auto"/>
        <w:jc w:val="center"/>
        <w:rPr>
          <w:rFonts w:ascii="Times New Roman" w:eastAsia="Calibri" w:hAnsi="Times New Roman" w:cs="Times New Roman"/>
          <w:sz w:val="24"/>
          <w:szCs w:val="24"/>
          <w:lang w:val="en-US"/>
        </w:rPr>
      </w:pPr>
      <w:r w:rsidRPr="002F74C5">
        <w:rPr>
          <w:rFonts w:ascii="Times New Roman" w:eastAsia="Calibri" w:hAnsi="Times New Roman" w:cs="Times New Roman"/>
          <w:sz w:val="24"/>
          <w:szCs w:val="24"/>
          <w:lang w:val="en-US"/>
        </w:rPr>
        <w:t>Town/City: Sfax</w:t>
      </w:r>
    </w:p>
    <w:p w:rsidR="006E54E6" w:rsidRPr="002F74C5" w:rsidRDefault="006E54E6" w:rsidP="006E54E6">
      <w:pPr>
        <w:widowControl w:val="0"/>
        <w:spacing w:line="240" w:lineRule="auto"/>
        <w:ind w:left="998" w:right="992"/>
        <w:jc w:val="center"/>
        <w:outlineLvl w:val="0"/>
        <w:rPr>
          <w:rFonts w:ascii="Times New Roman" w:eastAsia="Calibri" w:hAnsi="Times New Roman" w:cs="Times New Roman"/>
          <w:sz w:val="24"/>
          <w:szCs w:val="24"/>
          <w:lang w:val="en-US"/>
        </w:rPr>
      </w:pPr>
      <w:r w:rsidRPr="002F74C5">
        <w:rPr>
          <w:rFonts w:ascii="Times New Roman" w:eastAsia="Calibri" w:hAnsi="Times New Roman" w:cs="Times New Roman"/>
          <w:sz w:val="24"/>
          <w:szCs w:val="24"/>
          <w:lang w:val="en-US"/>
        </w:rPr>
        <w:t>Country: Tunisia</w:t>
      </w:r>
    </w:p>
    <w:p w:rsidR="006E54E6" w:rsidRPr="00802575" w:rsidRDefault="006E54E6" w:rsidP="006E54E6">
      <w:pPr>
        <w:spacing w:line="240" w:lineRule="auto"/>
        <w:ind w:left="720"/>
        <w:contextualSpacing/>
        <w:jc w:val="center"/>
        <w:rPr>
          <w:rFonts w:ascii="Times New Roman" w:eastAsia="Times New Roman" w:hAnsi="Times New Roman" w:cs="Times New Roman"/>
          <w:sz w:val="24"/>
          <w:szCs w:val="24"/>
          <w:lang w:val="en-US"/>
        </w:rPr>
      </w:pPr>
      <w:r w:rsidRPr="00802575">
        <w:rPr>
          <w:rFonts w:ascii="Times New Roman" w:eastAsia="Times New Roman" w:hAnsi="Times New Roman" w:cs="Times New Roman"/>
          <w:sz w:val="24"/>
          <w:szCs w:val="24"/>
          <w:lang w:val="en-US"/>
        </w:rPr>
        <w:t>Email:</w:t>
      </w:r>
      <w:bookmarkStart w:id="1" w:name="_Hlk135858246"/>
      <w:r w:rsidRPr="00A94635">
        <w:rPr>
          <w:rFonts w:ascii="Times New Roman" w:eastAsia="Times New Roman" w:hAnsi="Times New Roman" w:cs="Times New Roman"/>
          <w:color w:val="0000FF"/>
          <w:sz w:val="24"/>
          <w:szCs w:val="24"/>
          <w:u w:val="single"/>
          <w:lang w:val="en-US"/>
        </w:rPr>
        <w:t>emnaelleuch20092009@hotmail.fr</w:t>
      </w:r>
      <w:bookmarkEnd w:id="1"/>
    </w:p>
    <w:p w:rsidR="006E54E6" w:rsidRPr="00802575" w:rsidRDefault="006E54E6" w:rsidP="006E54E6">
      <w:pPr>
        <w:spacing w:line="240" w:lineRule="auto"/>
        <w:ind w:left="720"/>
        <w:contextualSpacing/>
        <w:jc w:val="center"/>
        <w:rPr>
          <w:rFonts w:ascii="Times New Roman" w:eastAsia="Times New Roman" w:hAnsi="Times New Roman" w:cs="Times New Roman"/>
          <w:color w:val="0000FF"/>
          <w:sz w:val="24"/>
          <w:szCs w:val="24"/>
          <w:u w:val="single"/>
          <w:lang w:val="en-US"/>
        </w:rPr>
      </w:pPr>
    </w:p>
    <w:p w:rsidR="006E54E6" w:rsidRDefault="006E54E6" w:rsidP="006E54E6">
      <w:pPr>
        <w:spacing w:line="240" w:lineRule="auto"/>
        <w:jc w:val="center"/>
        <w:rPr>
          <w:rFonts w:ascii="Times New Roman" w:eastAsia="Calibri" w:hAnsi="Times New Roman" w:cs="Times New Roman"/>
          <w:b/>
          <w:sz w:val="24"/>
          <w:szCs w:val="24"/>
          <w:lang w:val="en-US"/>
        </w:rPr>
      </w:pPr>
      <w:r w:rsidRPr="003568E3">
        <w:rPr>
          <w:rFonts w:ascii="Times New Roman" w:eastAsia="Calibri" w:hAnsi="Times New Roman" w:cs="Times New Roman"/>
          <w:b/>
          <w:sz w:val="24"/>
          <w:szCs w:val="24"/>
          <w:lang w:val="en-US"/>
        </w:rPr>
        <w:t>Sami BOUDABBOUS</w:t>
      </w:r>
    </w:p>
    <w:p w:rsidR="006E54E6" w:rsidRPr="00A94635" w:rsidRDefault="006E54E6" w:rsidP="006E54E6">
      <w:pPr>
        <w:spacing w:line="240" w:lineRule="auto"/>
        <w:jc w:val="center"/>
        <w:rPr>
          <w:rFonts w:ascii="Times New Roman" w:eastAsia="Calibri" w:hAnsi="Times New Roman" w:cs="Times New Roman"/>
          <w:b/>
          <w:sz w:val="24"/>
          <w:szCs w:val="24"/>
          <w:lang w:val="en-US"/>
        </w:rPr>
      </w:pPr>
    </w:p>
    <w:p w:rsidR="006E54E6" w:rsidRDefault="006E54E6" w:rsidP="006E54E6">
      <w:pPr>
        <w:spacing w:line="240" w:lineRule="auto"/>
        <w:jc w:val="center"/>
        <w:rPr>
          <w:rFonts w:ascii="Times New Roman" w:eastAsia="Calibri" w:hAnsi="Times New Roman" w:cs="Times New Roman"/>
          <w:sz w:val="24"/>
          <w:szCs w:val="24"/>
          <w:lang w:val="en-US"/>
        </w:rPr>
      </w:pPr>
      <w:r w:rsidRPr="00A94635">
        <w:rPr>
          <w:rFonts w:ascii="Times New Roman" w:eastAsia="Calibri" w:hAnsi="Times New Roman" w:cs="Times New Roman"/>
          <w:sz w:val="24"/>
          <w:szCs w:val="24"/>
          <w:lang w:val="en-US"/>
        </w:rPr>
        <w:t xml:space="preserve">Professor </w:t>
      </w:r>
      <w:r>
        <w:rPr>
          <w:rFonts w:ascii="Times New Roman" w:eastAsia="Calibri" w:hAnsi="Times New Roman" w:cs="Times New Roman"/>
          <w:sz w:val="24"/>
          <w:szCs w:val="24"/>
          <w:lang w:val="en-US"/>
        </w:rPr>
        <w:t>in</w:t>
      </w:r>
      <w:bookmarkStart w:id="2" w:name="_Hlk135858540"/>
      <w:r>
        <w:rPr>
          <w:rFonts w:ascii="Times New Roman" w:eastAsia="Calibri" w:hAnsi="Times New Roman" w:cs="Times New Roman"/>
          <w:sz w:val="24"/>
          <w:szCs w:val="24"/>
          <w:lang w:val="en-US"/>
        </w:rPr>
        <w:t xml:space="preserve"> </w:t>
      </w:r>
      <w:r w:rsidRPr="00A94635">
        <w:rPr>
          <w:rFonts w:ascii="Times New Roman" w:eastAsia="Calibri" w:hAnsi="Times New Roman" w:cs="Times New Roman"/>
          <w:sz w:val="24"/>
          <w:szCs w:val="24"/>
          <w:lang w:val="en-US"/>
        </w:rPr>
        <w:t>Management</w:t>
      </w:r>
      <w:bookmarkEnd w:id="2"/>
    </w:p>
    <w:p w:rsidR="006E54E6" w:rsidRDefault="006E54E6" w:rsidP="006E54E6">
      <w:pPr>
        <w:spacing w:line="240" w:lineRule="auto"/>
        <w:jc w:val="center"/>
        <w:rPr>
          <w:rFonts w:ascii="Times New Roman" w:eastAsia="Calibri" w:hAnsi="Times New Roman" w:cs="Times New Roman"/>
          <w:sz w:val="24"/>
          <w:szCs w:val="24"/>
          <w:lang w:val="en-US"/>
        </w:rPr>
      </w:pPr>
      <w:hyperlink r:id="rId9" w:history="1">
        <w:r w:rsidRPr="00526D88">
          <w:rPr>
            <w:rFonts w:ascii="Times New Roman" w:eastAsia="Calibri" w:hAnsi="Times New Roman" w:cs="Times New Roman"/>
            <w:sz w:val="24"/>
            <w:szCs w:val="24"/>
            <w:lang w:val="en-US"/>
          </w:rPr>
          <w:t>Faculty of Economics and Management of Sfax</w:t>
        </w:r>
      </w:hyperlink>
      <w:r w:rsidRPr="00F42CF2">
        <w:rPr>
          <w:rFonts w:ascii="Times New Roman" w:eastAsia="Calibri" w:hAnsi="Times New Roman" w:cs="Times New Roman"/>
          <w:sz w:val="24"/>
          <w:szCs w:val="24"/>
          <w:lang w:val="en-US"/>
        </w:rPr>
        <w:t>,</w:t>
      </w:r>
    </w:p>
    <w:p w:rsidR="006E54E6" w:rsidRPr="00F42CF2" w:rsidRDefault="006E54E6" w:rsidP="006E54E6">
      <w:pPr>
        <w:spacing w:line="240" w:lineRule="auto"/>
        <w:jc w:val="center"/>
        <w:rPr>
          <w:rFonts w:ascii="Times New Roman" w:eastAsia="Calibri" w:hAnsi="Times New Roman" w:cs="Times New Roman"/>
          <w:sz w:val="24"/>
          <w:szCs w:val="24"/>
          <w:lang w:val="en-US"/>
        </w:rPr>
      </w:pPr>
      <w:r w:rsidRPr="002F74C5">
        <w:rPr>
          <w:rFonts w:ascii="Times New Roman" w:eastAsia="Calibri" w:hAnsi="Times New Roman" w:cs="Times New Roman"/>
          <w:sz w:val="24"/>
          <w:szCs w:val="24"/>
          <w:lang w:val="en-US"/>
        </w:rPr>
        <w:t>University of Sfax</w:t>
      </w:r>
    </w:p>
    <w:p w:rsidR="006E54E6" w:rsidRPr="00F42CF2" w:rsidRDefault="006E54E6" w:rsidP="006E54E6">
      <w:pPr>
        <w:spacing w:line="240" w:lineRule="auto"/>
        <w:ind w:left="720"/>
        <w:contextualSpacing/>
        <w:jc w:val="center"/>
        <w:rPr>
          <w:rFonts w:ascii="Times New Roman" w:eastAsia="Times New Roman" w:hAnsi="Times New Roman" w:cs="Times New Roman"/>
          <w:sz w:val="24"/>
          <w:szCs w:val="24"/>
          <w:lang w:val="en-US"/>
        </w:rPr>
      </w:pPr>
      <w:r w:rsidRPr="00F42CF2">
        <w:rPr>
          <w:rFonts w:ascii="Times New Roman" w:eastAsia="Times New Roman" w:hAnsi="Times New Roman" w:cs="Times New Roman"/>
          <w:sz w:val="24"/>
          <w:szCs w:val="24"/>
          <w:lang w:val="en-US"/>
        </w:rPr>
        <w:t>Email</w:t>
      </w:r>
      <w:bookmarkStart w:id="3" w:name="_Hlk135858179"/>
      <w:r w:rsidRPr="00F42CF2">
        <w:rPr>
          <w:rFonts w:ascii="Times New Roman" w:eastAsia="Times New Roman" w:hAnsi="Times New Roman" w:cs="Times New Roman"/>
          <w:sz w:val="24"/>
          <w:szCs w:val="24"/>
          <w:lang w:val="en-US"/>
        </w:rPr>
        <w:t xml:space="preserve">: </w:t>
      </w:r>
      <w:r w:rsidRPr="00A94635">
        <w:rPr>
          <w:rFonts w:ascii="Times New Roman" w:eastAsia="Times New Roman" w:hAnsi="Times New Roman" w:cs="Times New Roman"/>
          <w:color w:val="0000FF"/>
          <w:sz w:val="24"/>
          <w:szCs w:val="24"/>
          <w:u w:val="single"/>
          <w:lang w:val="en-US"/>
        </w:rPr>
        <w:t>samiboudabbous2002@yahoo.fr</w:t>
      </w:r>
      <w:bookmarkEnd w:id="3"/>
    </w:p>
    <w:p w:rsidR="00FE3597" w:rsidRPr="006E54E6" w:rsidRDefault="00FE3597" w:rsidP="00FE3597">
      <w:pPr>
        <w:tabs>
          <w:tab w:val="center" w:pos="4513"/>
        </w:tabs>
        <w:rPr>
          <w:rFonts w:asciiTheme="majorBidi" w:eastAsia="Times New Roman" w:hAnsiTheme="majorBidi" w:cstheme="majorBidi"/>
          <w:b/>
          <w:bCs/>
          <w:sz w:val="20"/>
          <w:szCs w:val="20"/>
          <w:lang w:val="en-US"/>
        </w:rPr>
      </w:pPr>
    </w:p>
    <w:p w:rsidR="005F2CB8" w:rsidRDefault="005F2CB8" w:rsidP="006E54E6">
      <w:pPr>
        <w:tabs>
          <w:tab w:val="center" w:pos="4513"/>
        </w:tabs>
        <w:rPr>
          <w:rFonts w:asciiTheme="majorBidi" w:eastAsia="Times New Roman" w:hAnsiTheme="majorBidi" w:cstheme="majorBidi"/>
          <w:b/>
          <w:bCs/>
          <w:sz w:val="20"/>
          <w:szCs w:val="20"/>
        </w:rPr>
      </w:pPr>
    </w:p>
    <w:p w:rsidR="005F2CB8" w:rsidRDefault="005F2CB8" w:rsidP="006E54E6">
      <w:pPr>
        <w:tabs>
          <w:tab w:val="center" w:pos="4513"/>
        </w:tabs>
        <w:rPr>
          <w:rFonts w:asciiTheme="majorBidi" w:eastAsia="Times New Roman" w:hAnsiTheme="majorBidi" w:cstheme="majorBidi"/>
          <w:b/>
          <w:bCs/>
          <w:sz w:val="20"/>
          <w:szCs w:val="20"/>
        </w:rPr>
      </w:pPr>
    </w:p>
    <w:p w:rsidR="005F2CB8" w:rsidRDefault="005F2CB8" w:rsidP="006E54E6">
      <w:pPr>
        <w:tabs>
          <w:tab w:val="center" w:pos="4513"/>
        </w:tabs>
        <w:rPr>
          <w:rFonts w:asciiTheme="majorBidi" w:eastAsia="Times New Roman" w:hAnsiTheme="majorBidi" w:cstheme="majorBidi"/>
          <w:b/>
          <w:bCs/>
          <w:sz w:val="20"/>
          <w:szCs w:val="20"/>
        </w:rPr>
      </w:pPr>
    </w:p>
    <w:p w:rsidR="005F2CB8" w:rsidRDefault="005F2CB8" w:rsidP="006E54E6">
      <w:pPr>
        <w:tabs>
          <w:tab w:val="center" w:pos="4513"/>
        </w:tabs>
        <w:rPr>
          <w:rFonts w:asciiTheme="majorBidi" w:eastAsia="Times New Roman" w:hAnsiTheme="majorBidi" w:cstheme="majorBidi"/>
          <w:b/>
          <w:bCs/>
          <w:sz w:val="20"/>
          <w:szCs w:val="20"/>
        </w:rPr>
      </w:pPr>
    </w:p>
    <w:p w:rsidR="005F2CB8" w:rsidRDefault="005F2CB8" w:rsidP="006E54E6">
      <w:pPr>
        <w:tabs>
          <w:tab w:val="center" w:pos="4513"/>
        </w:tabs>
        <w:rPr>
          <w:rFonts w:asciiTheme="majorBidi" w:eastAsia="Times New Roman" w:hAnsiTheme="majorBidi" w:cstheme="majorBidi"/>
          <w:b/>
          <w:bCs/>
          <w:sz w:val="20"/>
          <w:szCs w:val="20"/>
        </w:rPr>
      </w:pPr>
    </w:p>
    <w:p w:rsidR="005F2CB8" w:rsidRDefault="005F2CB8" w:rsidP="006E54E6">
      <w:pPr>
        <w:tabs>
          <w:tab w:val="center" w:pos="4513"/>
        </w:tabs>
        <w:rPr>
          <w:rFonts w:asciiTheme="majorBidi" w:eastAsia="Times New Roman" w:hAnsiTheme="majorBidi" w:cstheme="majorBidi"/>
          <w:b/>
          <w:bCs/>
          <w:sz w:val="20"/>
          <w:szCs w:val="20"/>
        </w:rPr>
      </w:pPr>
    </w:p>
    <w:p w:rsidR="005F2CB8" w:rsidRDefault="005F2CB8" w:rsidP="006E54E6">
      <w:pPr>
        <w:tabs>
          <w:tab w:val="center" w:pos="4513"/>
        </w:tabs>
        <w:rPr>
          <w:rFonts w:asciiTheme="majorBidi" w:eastAsia="Times New Roman" w:hAnsiTheme="majorBidi" w:cstheme="majorBidi"/>
          <w:b/>
          <w:bCs/>
          <w:sz w:val="20"/>
          <w:szCs w:val="20"/>
        </w:rPr>
      </w:pPr>
    </w:p>
    <w:p w:rsidR="005F2CB8" w:rsidRDefault="005F2CB8" w:rsidP="006E54E6">
      <w:pPr>
        <w:tabs>
          <w:tab w:val="center" w:pos="4513"/>
        </w:tabs>
        <w:rPr>
          <w:rFonts w:asciiTheme="majorBidi" w:eastAsia="Times New Roman" w:hAnsiTheme="majorBidi" w:cstheme="majorBidi"/>
          <w:b/>
          <w:bCs/>
          <w:sz w:val="20"/>
          <w:szCs w:val="20"/>
        </w:rPr>
      </w:pPr>
    </w:p>
    <w:p w:rsidR="005F2CB8" w:rsidRDefault="005F2CB8" w:rsidP="006E54E6">
      <w:pPr>
        <w:tabs>
          <w:tab w:val="center" w:pos="4513"/>
        </w:tabs>
        <w:rPr>
          <w:rFonts w:asciiTheme="majorBidi" w:eastAsia="Times New Roman" w:hAnsiTheme="majorBidi" w:cstheme="majorBidi"/>
          <w:b/>
          <w:bCs/>
          <w:sz w:val="20"/>
          <w:szCs w:val="20"/>
        </w:rPr>
      </w:pPr>
    </w:p>
    <w:p w:rsidR="00FE3597" w:rsidRPr="00DE24F8" w:rsidRDefault="00FE3597" w:rsidP="006E54E6">
      <w:pPr>
        <w:tabs>
          <w:tab w:val="center" w:pos="4513"/>
        </w:tabs>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Date de soumission</w:t>
      </w:r>
      <w:r w:rsidRPr="00DE24F8">
        <w:rPr>
          <w:rFonts w:asciiTheme="majorBidi" w:eastAsia="Times New Roman" w:hAnsiTheme="majorBidi" w:cstheme="majorBidi"/>
          <w:sz w:val="20"/>
          <w:szCs w:val="20"/>
        </w:rPr>
        <w:t xml:space="preserve"> : </w:t>
      </w:r>
      <w:r w:rsidR="006E54E6">
        <w:rPr>
          <w:rFonts w:asciiTheme="majorBidi" w:eastAsia="Times New Roman" w:hAnsiTheme="majorBidi" w:cstheme="majorBidi"/>
          <w:sz w:val="20"/>
          <w:szCs w:val="20"/>
        </w:rPr>
        <w:t>23</w:t>
      </w:r>
      <w:r w:rsidRPr="00DE24F8">
        <w:rPr>
          <w:rFonts w:asciiTheme="majorBidi" w:eastAsia="Times New Roman" w:hAnsiTheme="majorBidi" w:cstheme="majorBidi"/>
          <w:sz w:val="20"/>
          <w:szCs w:val="20"/>
        </w:rPr>
        <w:t>/</w:t>
      </w:r>
      <w:r w:rsidR="006E54E6">
        <w:rPr>
          <w:rFonts w:asciiTheme="majorBidi" w:eastAsia="Times New Roman" w:hAnsiTheme="majorBidi" w:cstheme="majorBidi"/>
          <w:sz w:val="20"/>
          <w:szCs w:val="20"/>
        </w:rPr>
        <w:t>10</w:t>
      </w:r>
      <w:r w:rsidRPr="00DE24F8">
        <w:rPr>
          <w:rFonts w:asciiTheme="majorBidi" w:eastAsia="Times New Roman" w:hAnsiTheme="majorBidi" w:cstheme="majorBidi"/>
          <w:sz w:val="20"/>
          <w:szCs w:val="20"/>
        </w:rPr>
        <w:t>/</w:t>
      </w:r>
      <w:r w:rsidR="006E54E6">
        <w:rPr>
          <w:rFonts w:asciiTheme="majorBidi" w:eastAsia="Times New Roman" w:hAnsiTheme="majorBidi" w:cstheme="majorBidi"/>
          <w:sz w:val="20"/>
          <w:szCs w:val="20"/>
        </w:rPr>
        <w:t>2024</w:t>
      </w:r>
      <w:r w:rsidRPr="00DE24F8">
        <w:rPr>
          <w:rFonts w:asciiTheme="majorBidi" w:eastAsia="Times New Roman" w:hAnsiTheme="majorBidi" w:cstheme="majorBidi"/>
          <w:sz w:val="20"/>
          <w:szCs w:val="20"/>
        </w:rPr>
        <w:tab/>
      </w:r>
    </w:p>
    <w:p w:rsidR="00FE3597" w:rsidRPr="00DE24F8" w:rsidRDefault="00FE3597" w:rsidP="00FE3597">
      <w:pPr>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Date d’acceptation</w:t>
      </w:r>
      <w:r w:rsidRPr="00DE24F8">
        <w:rPr>
          <w:rFonts w:asciiTheme="majorBidi" w:eastAsia="Times New Roman" w:hAnsiTheme="majorBidi" w:cstheme="majorBidi"/>
          <w:sz w:val="20"/>
          <w:szCs w:val="20"/>
        </w:rPr>
        <w:t> : xx/xx/xxxx</w:t>
      </w:r>
    </w:p>
    <w:p w:rsidR="00FE3597" w:rsidRPr="00781511" w:rsidRDefault="00F06905" w:rsidP="00FE3597">
      <w:pPr>
        <w:rPr>
          <w:rFonts w:asciiTheme="majorBidi" w:eastAsia="Times New Roman" w:hAnsiTheme="majorBidi" w:cstheme="majorBidi"/>
          <w:b/>
          <w:bCs/>
          <w:lang w:val="en-US"/>
        </w:rPr>
      </w:pPr>
      <w:r w:rsidRPr="00781511">
        <w:rPr>
          <w:rFonts w:asciiTheme="majorBidi" w:eastAsia="Times New Roman" w:hAnsiTheme="majorBidi" w:cstheme="majorBidi"/>
          <w:b/>
          <w:bCs/>
          <w:lang w:val="en-US"/>
        </w:rPr>
        <w:t xml:space="preserve">Digital Object Identifier (DOI) : </w:t>
      </w:r>
    </w:p>
    <w:p w:rsidR="00884004" w:rsidRDefault="00884004" w:rsidP="00B55E22">
      <w:pPr>
        <w:widowControl w:val="0"/>
        <w:suppressAutoHyphens/>
        <w:jc w:val="center"/>
        <w:rPr>
          <w:sz w:val="20"/>
          <w:szCs w:val="20"/>
          <w:lang w:val="en-US"/>
        </w:rPr>
      </w:pPr>
      <w:r w:rsidRPr="00B55E22">
        <w:rPr>
          <w:sz w:val="20"/>
          <w:szCs w:val="20"/>
          <w:lang w:val="en-US"/>
        </w:rPr>
        <w:t>Author(s) agree that this article remain permanently open access under the terms of the Creative Commons Attribution License 4.0 International License</w:t>
      </w:r>
    </w:p>
    <w:p w:rsidR="00B55E22" w:rsidRDefault="00B55E22" w:rsidP="00B55E22">
      <w:pPr>
        <w:widowControl w:val="0"/>
        <w:suppressAutoHyphens/>
        <w:jc w:val="center"/>
        <w:rPr>
          <w:sz w:val="20"/>
          <w:szCs w:val="20"/>
          <w:lang w:val="en-US"/>
        </w:rPr>
      </w:pPr>
      <w:r>
        <w:rPr>
          <w:noProof/>
          <w:sz w:val="20"/>
          <w:szCs w:val="20"/>
        </w:rPr>
        <w:drawing>
          <wp:inline distT="0" distB="0" distL="0" distR="0">
            <wp:extent cx="790575" cy="30480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790575" cy="304800"/>
                    </a:xfrm>
                    <a:prstGeom prst="rect">
                      <a:avLst/>
                    </a:prstGeom>
                    <a:noFill/>
                    <a:ln w="9525">
                      <a:noFill/>
                      <a:miter lim="800000"/>
                      <a:headEnd/>
                      <a:tailEnd/>
                    </a:ln>
                  </pic:spPr>
                </pic:pic>
              </a:graphicData>
            </a:graphic>
          </wp:inline>
        </w:drawing>
      </w:r>
    </w:p>
    <w:p w:rsidR="00A574BC" w:rsidRPr="00B55E22" w:rsidRDefault="00A574BC" w:rsidP="00B55E22">
      <w:pPr>
        <w:widowControl w:val="0"/>
        <w:suppressAutoHyphens/>
        <w:jc w:val="center"/>
        <w:rPr>
          <w:sz w:val="20"/>
          <w:szCs w:val="20"/>
          <w:lang w:val="en-US"/>
        </w:rPr>
      </w:pPr>
    </w:p>
    <w:p w:rsidR="005F2CB8" w:rsidRPr="00192597" w:rsidRDefault="005F2CB8" w:rsidP="00AF32C9">
      <w:pPr>
        <w:rPr>
          <w:lang w:val="en-US"/>
        </w:rPr>
      </w:pPr>
    </w:p>
    <w:p w:rsidR="00AF32C9" w:rsidRPr="00192597" w:rsidRDefault="00AF32C9" w:rsidP="00AF32C9">
      <w:pPr>
        <w:rPr>
          <w:lang w:val="en-US"/>
        </w:rPr>
      </w:pPr>
    </w:p>
    <w:p w:rsidR="00AF32C9" w:rsidRPr="00192597" w:rsidRDefault="00AF32C9" w:rsidP="00AF32C9">
      <w:pPr>
        <w:spacing w:line="240" w:lineRule="auto"/>
        <w:rPr>
          <w:rFonts w:asciiTheme="majorBidi" w:hAnsiTheme="majorBidi" w:cstheme="majorBidi"/>
          <w:b/>
          <w:bCs/>
          <w:sz w:val="24"/>
          <w:szCs w:val="24"/>
          <w:lang w:val="en-US"/>
        </w:rPr>
      </w:pPr>
      <w:r w:rsidRPr="00192597">
        <w:rPr>
          <w:rFonts w:asciiTheme="majorBidi" w:hAnsiTheme="majorBidi" w:cstheme="majorBidi"/>
          <w:b/>
          <w:bCs/>
          <w:sz w:val="24"/>
          <w:szCs w:val="24"/>
          <w:lang w:val="en-US"/>
        </w:rPr>
        <w:t>Abstract</w:t>
      </w:r>
    </w:p>
    <w:p w:rsidR="00AF32C9" w:rsidRPr="00192597" w:rsidRDefault="00AF32C9" w:rsidP="00AF32C9">
      <w:pPr>
        <w:spacing w:line="240" w:lineRule="auto"/>
        <w:rPr>
          <w:rFonts w:asciiTheme="majorBidi" w:hAnsiTheme="majorBidi" w:cstheme="majorBidi"/>
          <w:sz w:val="24"/>
          <w:szCs w:val="24"/>
          <w:lang w:val="en-US"/>
        </w:rPr>
      </w:pPr>
      <w:r w:rsidRPr="00192597">
        <w:rPr>
          <w:rFonts w:asciiTheme="majorBidi" w:hAnsiTheme="majorBidi" w:cstheme="majorBidi"/>
          <w:sz w:val="24"/>
          <w:szCs w:val="24"/>
          <w:lang w:val="en-US"/>
        </w:rPr>
        <w:t>This article provides a review of existing research on the relationship between corporate social responsibility (CSR) and accounting manipulation (AM). The main objective is to identify the gray areas and clarify the ambiguities surrounding this complex relationship.</w:t>
      </w:r>
    </w:p>
    <w:p w:rsidR="00AF32C9" w:rsidRPr="00192597" w:rsidRDefault="00AF32C9" w:rsidP="00AF32C9">
      <w:pPr>
        <w:spacing w:line="240" w:lineRule="auto"/>
        <w:rPr>
          <w:rFonts w:asciiTheme="majorBidi" w:hAnsiTheme="majorBidi" w:cstheme="majorBidi"/>
          <w:sz w:val="24"/>
          <w:szCs w:val="24"/>
          <w:lang w:val="en-US"/>
        </w:rPr>
      </w:pPr>
      <w:r w:rsidRPr="00192597">
        <w:rPr>
          <w:rFonts w:asciiTheme="majorBidi" w:hAnsiTheme="majorBidi" w:cstheme="majorBidi"/>
          <w:sz w:val="24"/>
          <w:szCs w:val="24"/>
          <w:lang w:val="en-US"/>
        </w:rPr>
        <w:t>Our study is based on a two-pronged methodology, including a theoretical literature review and a bibliographic analysis from the Scopus and Dimensions databases, covering the period from 2018 to 2023.</w:t>
      </w:r>
    </w:p>
    <w:p w:rsidR="00AF32C9" w:rsidRPr="00192597" w:rsidRDefault="00AF32C9" w:rsidP="00AF32C9">
      <w:pPr>
        <w:spacing w:line="240" w:lineRule="auto"/>
        <w:rPr>
          <w:rFonts w:asciiTheme="majorBidi" w:hAnsiTheme="majorBidi" w:cstheme="majorBidi"/>
          <w:sz w:val="24"/>
          <w:szCs w:val="24"/>
          <w:lang w:val="en-US"/>
        </w:rPr>
      </w:pPr>
      <w:r w:rsidRPr="00192597">
        <w:rPr>
          <w:rFonts w:asciiTheme="majorBidi" w:hAnsiTheme="majorBidi" w:cstheme="majorBidi"/>
          <w:sz w:val="24"/>
          <w:szCs w:val="24"/>
          <w:lang w:val="en-US"/>
        </w:rPr>
        <w:t>By examining past and contemporary findings, we find that the nature of the relationship between CSR and AM is influenced by various factors, such as management psychology, corporate resource management, the degree of sensitivity to societal and ethical issues, and governance practices. Furthermore, mixed results often emerge, due to a lack of adequate theoretical support and the multidimensional nature of the CSR concept.</w:t>
      </w:r>
    </w:p>
    <w:p w:rsidR="00AF32C9" w:rsidRPr="00192597" w:rsidRDefault="00AF32C9" w:rsidP="00AF32C9">
      <w:pPr>
        <w:spacing w:line="240" w:lineRule="auto"/>
        <w:rPr>
          <w:rFonts w:asciiTheme="majorBidi" w:hAnsiTheme="majorBidi" w:cstheme="majorBidi"/>
          <w:sz w:val="24"/>
          <w:szCs w:val="24"/>
          <w:lang w:val="en-US"/>
        </w:rPr>
      </w:pPr>
      <w:r w:rsidRPr="00192597">
        <w:rPr>
          <w:rFonts w:asciiTheme="majorBidi" w:hAnsiTheme="majorBidi" w:cstheme="majorBidi"/>
          <w:sz w:val="24"/>
          <w:szCs w:val="24"/>
          <w:lang w:val="en-US"/>
        </w:rPr>
        <w:t>To address these gray areas, future research could focus on exploratory qualitative studies. Indeed, the context in which companies operate plays a crucial role in managers' decisions regarding CSR and accounting data management.</w:t>
      </w:r>
    </w:p>
    <w:p w:rsidR="00AF32C9" w:rsidRPr="00192597" w:rsidRDefault="00AF32C9" w:rsidP="00AF32C9">
      <w:pPr>
        <w:spacing w:line="240" w:lineRule="auto"/>
        <w:rPr>
          <w:rFonts w:asciiTheme="majorBidi" w:hAnsiTheme="majorBidi" w:cstheme="majorBidi"/>
          <w:sz w:val="24"/>
          <w:szCs w:val="24"/>
          <w:lang w:val="en-US"/>
        </w:rPr>
      </w:pPr>
    </w:p>
    <w:p w:rsidR="00AF32C9" w:rsidRPr="00192597" w:rsidRDefault="00AF32C9" w:rsidP="00AF32C9">
      <w:pPr>
        <w:spacing w:line="240" w:lineRule="auto"/>
        <w:rPr>
          <w:rFonts w:asciiTheme="majorBidi" w:hAnsiTheme="majorBidi" w:cstheme="majorBidi"/>
          <w:sz w:val="24"/>
          <w:szCs w:val="24"/>
          <w:lang w:val="en-US"/>
        </w:rPr>
      </w:pPr>
      <w:r w:rsidRPr="00192597">
        <w:rPr>
          <w:rFonts w:asciiTheme="majorBidi" w:hAnsiTheme="majorBidi" w:cstheme="majorBidi"/>
          <w:b/>
          <w:bCs/>
          <w:sz w:val="24"/>
          <w:szCs w:val="24"/>
          <w:lang w:val="en-US"/>
        </w:rPr>
        <w:t>Keywords:</w:t>
      </w:r>
      <w:r>
        <w:rPr>
          <w:rFonts w:asciiTheme="majorBidi" w:hAnsiTheme="majorBidi" w:cstheme="majorBidi"/>
          <w:b/>
          <w:bCs/>
          <w:sz w:val="24"/>
          <w:szCs w:val="24"/>
          <w:lang w:val="en-US"/>
        </w:rPr>
        <w:t xml:space="preserve"> </w:t>
      </w:r>
      <w:r w:rsidRPr="00192597">
        <w:rPr>
          <w:rFonts w:asciiTheme="majorBidi" w:hAnsiTheme="majorBidi" w:cstheme="majorBidi"/>
          <w:sz w:val="24"/>
          <w:szCs w:val="24"/>
          <w:lang w:val="en-US"/>
        </w:rPr>
        <w:t>corporate social responsibility, accounting manipulation, contractual theories, institutional theories</w:t>
      </w:r>
    </w:p>
    <w:p w:rsidR="00AF32C9" w:rsidRPr="00192597" w:rsidRDefault="00AF32C9" w:rsidP="00AF32C9">
      <w:pPr>
        <w:rPr>
          <w:lang w:val="en-US"/>
        </w:rPr>
      </w:pPr>
    </w:p>
    <w:p w:rsidR="00AF32C9" w:rsidRPr="00192597" w:rsidRDefault="00AF32C9" w:rsidP="00AF32C9">
      <w:pPr>
        <w:rPr>
          <w:lang w:val="en-US"/>
        </w:rPr>
      </w:pPr>
    </w:p>
    <w:p w:rsidR="00AF32C9" w:rsidRPr="00192597" w:rsidRDefault="00AF32C9" w:rsidP="00AF32C9">
      <w:pPr>
        <w:rPr>
          <w:lang w:val="en-US"/>
        </w:rPr>
      </w:pPr>
    </w:p>
    <w:p w:rsidR="00AF32C9" w:rsidRPr="00192597" w:rsidRDefault="00AF32C9" w:rsidP="00AF32C9">
      <w:pPr>
        <w:rPr>
          <w:lang w:val="en-US"/>
        </w:rPr>
      </w:pPr>
    </w:p>
    <w:p w:rsidR="00AF32C9" w:rsidRPr="00192597" w:rsidRDefault="00AF32C9" w:rsidP="00AF32C9">
      <w:pPr>
        <w:rPr>
          <w:lang w:val="en-US"/>
        </w:rPr>
      </w:pPr>
    </w:p>
    <w:p w:rsidR="00AF32C9" w:rsidRPr="00192597" w:rsidRDefault="00AF32C9" w:rsidP="00AF32C9">
      <w:pPr>
        <w:rPr>
          <w:lang w:val="en-US"/>
        </w:rPr>
      </w:pPr>
    </w:p>
    <w:p w:rsidR="00AF32C9" w:rsidRPr="00192597" w:rsidRDefault="00AF32C9" w:rsidP="00AF32C9">
      <w:pPr>
        <w:rPr>
          <w:lang w:val="en-US"/>
        </w:rPr>
      </w:pPr>
    </w:p>
    <w:p w:rsidR="00AF32C9" w:rsidRPr="00192597" w:rsidRDefault="00AF32C9" w:rsidP="00AF32C9">
      <w:pPr>
        <w:rPr>
          <w:lang w:val="en-US"/>
        </w:rPr>
      </w:pPr>
    </w:p>
    <w:p w:rsidR="00AF32C9" w:rsidRDefault="00AF32C9" w:rsidP="00AF32C9">
      <w:pPr>
        <w:rPr>
          <w:lang w:val="en-US"/>
        </w:rPr>
      </w:pPr>
    </w:p>
    <w:p w:rsidR="00AF32C9" w:rsidRDefault="00AF32C9" w:rsidP="00AF32C9">
      <w:pPr>
        <w:rPr>
          <w:lang w:val="en-US"/>
        </w:rPr>
      </w:pPr>
    </w:p>
    <w:p w:rsidR="00AF32C9" w:rsidRDefault="00AF32C9" w:rsidP="00AF32C9">
      <w:pPr>
        <w:rPr>
          <w:lang w:val="en-US"/>
        </w:rPr>
      </w:pPr>
    </w:p>
    <w:p w:rsidR="00AF32C9" w:rsidRPr="00192597" w:rsidRDefault="00AF32C9" w:rsidP="00AF32C9">
      <w:pPr>
        <w:rPr>
          <w:lang w:val="en-US"/>
        </w:rPr>
      </w:pPr>
    </w:p>
    <w:p w:rsidR="00AF32C9" w:rsidRPr="00192597" w:rsidRDefault="00AF32C9" w:rsidP="00AF32C9">
      <w:pPr>
        <w:rPr>
          <w:lang w:val="en-US"/>
        </w:rPr>
      </w:pPr>
    </w:p>
    <w:p w:rsidR="00AF32C9" w:rsidRPr="00192597" w:rsidRDefault="00AF32C9" w:rsidP="00AF32C9">
      <w:pPr>
        <w:rPr>
          <w:lang w:val="en-US"/>
        </w:rPr>
      </w:pPr>
    </w:p>
    <w:p w:rsidR="00AF32C9" w:rsidRPr="00192597" w:rsidRDefault="00AF32C9" w:rsidP="00AF32C9">
      <w:pPr>
        <w:rPr>
          <w:lang w:val="en-US"/>
        </w:rPr>
      </w:pPr>
    </w:p>
    <w:p w:rsidR="00AF32C9" w:rsidRPr="00192597" w:rsidRDefault="00AF32C9" w:rsidP="00AF32C9">
      <w:pPr>
        <w:rPr>
          <w:lang w:val="en-US"/>
        </w:rPr>
      </w:pPr>
    </w:p>
    <w:p w:rsidR="00AF32C9" w:rsidRPr="00192597" w:rsidRDefault="00AF32C9" w:rsidP="00AF32C9">
      <w:pPr>
        <w:rPr>
          <w:lang w:val="en-US"/>
        </w:rPr>
      </w:pPr>
    </w:p>
    <w:p w:rsidR="00AF32C9" w:rsidRPr="00192597" w:rsidRDefault="00AF32C9" w:rsidP="00AF32C9">
      <w:pPr>
        <w:spacing w:after="120"/>
        <w:rPr>
          <w:rFonts w:asciiTheme="majorBidi" w:hAnsiTheme="majorBidi" w:cstheme="majorBidi"/>
          <w:b/>
          <w:bCs/>
          <w:sz w:val="24"/>
          <w:szCs w:val="24"/>
          <w:lang w:val="en-US"/>
        </w:rPr>
      </w:pPr>
      <w:r w:rsidRPr="00192597">
        <w:rPr>
          <w:rFonts w:asciiTheme="majorBidi" w:hAnsiTheme="majorBidi" w:cstheme="majorBidi"/>
          <w:b/>
          <w:bCs/>
          <w:sz w:val="24"/>
          <w:szCs w:val="24"/>
          <w:lang w:val="en-US"/>
        </w:rPr>
        <w:t>Introduction</w:t>
      </w:r>
    </w:p>
    <w:p w:rsidR="00AF32C9" w:rsidRPr="00192597" w:rsidRDefault="00AF32C9" w:rsidP="00AF32C9">
      <w:pPr>
        <w:spacing w:after="120"/>
        <w:rPr>
          <w:rFonts w:asciiTheme="majorBidi" w:hAnsiTheme="majorBidi" w:cstheme="majorBidi"/>
          <w:sz w:val="24"/>
          <w:szCs w:val="24"/>
          <w:lang w:val="en-US"/>
        </w:rPr>
      </w:pPr>
      <w:r w:rsidRPr="00192597">
        <w:rPr>
          <w:rFonts w:asciiTheme="majorBidi" w:hAnsiTheme="majorBidi" w:cstheme="majorBidi"/>
          <w:sz w:val="24"/>
          <w:szCs w:val="24"/>
          <w:lang w:val="en-US"/>
        </w:rPr>
        <w:lastRenderedPageBreak/>
        <w:t>Financial scandals in recent decades have exposed the fragility of financial information published by some companies, attracting the attention of researchers, regulators, investors and other stakeholders. Financial information transparency has thus become a central area of ​​corporate performance (De Villiers et al., 2017). In response, stakeholders are demanding not only greater transparency from companies, but also more socially responsible behavior. In this context, rapid technological developments and societal transformations have raised public awareness of global issues such as human rights, climate change and environmental pollution (Bebbington and Unerman, 2018). These concerns have led to a greater emphasis on the role of companies in society and the economy, and to the emergence of Corporate Social Responsibility (CSR) as a lever for transparency and sustainability. Companies that engage in CSR tend to produce more reliable and transparent financial and extra-financial reports (Lanis and Richardson, 2018). However, some researchers argue that CSR can be used strategically to divert stakeholders’ attention from opportunistic behaviors, notably through “greenwashing” (Cho et al., 2020).</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Accounting manipulation (AM), influenced by managers’ decisions and incentives, is another area of ​​concern in corporate management. Indeed, CSR practices can influence accounting data management choices, whether to improve the company’s reputation or to meet societal expectations (García-Sánchez et al., 2020). However, the relationship between CSR and AM remains ambiguous, and the results of previous studies remain contradictory. Despite the increasing attention paid to the relationship between CSR and accounting manipulation, there is still a lack of consensus among researchers (Zheng et al., 2019). This lack of clarity fuels an ongoing debate, highlighting the need for further studies to understand this complex relationship. Thus, this study aims to answer the following question: “What is the relationship between CSR and AM?”</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 xml:space="preserve">To answer this question, we adopted a two-part methodological approach. First, a comprehensive literature review was conducted to examine the theoretical basis of the relationship between CSR and accounting data management. Then, an empirical study was conducted using bibliographic data collected from the Scopus and Dimensions databases, covering the period from 2018 to 2023. This analysis provides an informed perspective on the relationship between these two concepts. In the following sections, we will first examine the relationship between CSR and accounting manipulation through managerial theories, then we </w:t>
      </w:r>
      <w:r w:rsidRPr="00AF32C9">
        <w:rPr>
          <w:rFonts w:asciiTheme="majorBidi" w:hAnsiTheme="majorBidi" w:cstheme="majorBidi"/>
          <w:sz w:val="24"/>
          <w:szCs w:val="24"/>
          <w:lang w:val="en-US"/>
        </w:rPr>
        <w:lastRenderedPageBreak/>
        <w:t>will analyze the different theoretical facets linking CSR to accounting management practices. We will then present the methodology of the empirical study and the results obtained. Finally, we will conclude by discussing the theoretical and practical implications of our results, while suggesting directions for future research.</w:t>
      </w:r>
    </w:p>
    <w:p w:rsidR="00AF32C9" w:rsidRPr="00AF32C9" w:rsidRDefault="00AF32C9" w:rsidP="00AF32C9">
      <w:pPr>
        <w:spacing w:after="120"/>
        <w:rPr>
          <w:rFonts w:asciiTheme="majorBidi" w:hAnsiTheme="majorBidi" w:cstheme="majorBidi"/>
          <w:sz w:val="24"/>
          <w:szCs w:val="24"/>
          <w:lang w:val="en-US"/>
        </w:rPr>
      </w:pPr>
    </w:p>
    <w:p w:rsidR="00AF32C9" w:rsidRPr="00AF32C9" w:rsidRDefault="00AF32C9" w:rsidP="00AF32C9">
      <w:pPr>
        <w:spacing w:after="120"/>
        <w:rPr>
          <w:rFonts w:asciiTheme="majorBidi" w:hAnsiTheme="majorBidi" w:cstheme="majorBidi"/>
          <w:b/>
          <w:bCs/>
          <w:sz w:val="24"/>
          <w:szCs w:val="24"/>
          <w:lang w:val="en-US"/>
        </w:rPr>
      </w:pPr>
      <w:r w:rsidRPr="00AF32C9">
        <w:rPr>
          <w:rFonts w:asciiTheme="majorBidi" w:hAnsiTheme="majorBidi" w:cstheme="majorBidi"/>
          <w:b/>
          <w:bCs/>
          <w:sz w:val="24"/>
          <w:szCs w:val="24"/>
          <w:lang w:val="en-US"/>
        </w:rPr>
        <w:t>1. The CSR-AM relationship tested by managerial theories</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The existing literature highlights two main theoretical frameworks often used by researchers to examine the relationship between Corporate Social Responsibility (CSR) and accounting manipulation (AM): contractual theories, which perceive the company as a set of contracts where conflicts can arise between stakeholders (Jensen &amp; Meckling, 1976), and neo-institutional theories, which consider that organizations respond to institutional pressures to acquire legitimacy (DiMaggio &amp; Powell, 1983). These two theoretical perspectives allow us to analyze the complex relationship between societal practices and AM from different angles.</w:t>
      </w:r>
    </w:p>
    <w:p w:rsidR="00AF32C9" w:rsidRPr="00AF32C9" w:rsidRDefault="00AF32C9" w:rsidP="00AF32C9">
      <w:pPr>
        <w:spacing w:after="120"/>
        <w:rPr>
          <w:rFonts w:asciiTheme="majorBidi" w:hAnsiTheme="majorBidi" w:cstheme="majorBidi"/>
          <w:sz w:val="24"/>
          <w:szCs w:val="24"/>
          <w:lang w:val="en-US"/>
        </w:rPr>
      </w:pPr>
    </w:p>
    <w:p w:rsidR="00AF32C9" w:rsidRPr="00AF32C9" w:rsidRDefault="00AF32C9" w:rsidP="00AF32C9">
      <w:pPr>
        <w:spacing w:after="120"/>
        <w:rPr>
          <w:rFonts w:asciiTheme="majorBidi" w:hAnsiTheme="majorBidi" w:cstheme="majorBidi"/>
          <w:b/>
          <w:bCs/>
          <w:sz w:val="24"/>
          <w:szCs w:val="24"/>
          <w:lang w:val="en-US"/>
        </w:rPr>
      </w:pPr>
      <w:r w:rsidRPr="00AF32C9">
        <w:rPr>
          <w:rFonts w:asciiTheme="majorBidi" w:hAnsiTheme="majorBidi" w:cstheme="majorBidi"/>
          <w:b/>
          <w:bCs/>
          <w:sz w:val="24"/>
          <w:szCs w:val="24"/>
          <w:lang w:val="en-US"/>
        </w:rPr>
        <w:t>1.1. Contractual approach to the relationship between societal practices and AM</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Contractual theories are based on economic and liberal approaches to organizations, in which the company is analyzed as a “nexus of formal or informal contracts” generating transaction costs. Among these theories, signaling theory (Spence, 1973) and generalized agency theory (Hill &amp; Jones, 1992) offer a rich perspective for analyzing the interactions between CSR and AM.</w:t>
      </w:r>
    </w:p>
    <w:p w:rsidR="00AF32C9" w:rsidRPr="00AF32C9" w:rsidRDefault="00AF32C9" w:rsidP="00AF32C9">
      <w:pPr>
        <w:spacing w:after="120"/>
        <w:rPr>
          <w:rFonts w:asciiTheme="majorBidi" w:hAnsiTheme="majorBidi" w:cstheme="majorBidi"/>
          <w:sz w:val="24"/>
          <w:szCs w:val="24"/>
          <w:lang w:val="en-US"/>
        </w:rPr>
      </w:pPr>
    </w:p>
    <w:p w:rsidR="00AF32C9" w:rsidRPr="00AF32C9" w:rsidRDefault="00AF32C9" w:rsidP="00AF32C9">
      <w:pPr>
        <w:spacing w:after="120"/>
        <w:rPr>
          <w:rFonts w:asciiTheme="majorBidi" w:hAnsiTheme="majorBidi" w:cstheme="majorBidi"/>
          <w:b/>
          <w:bCs/>
          <w:sz w:val="24"/>
          <w:szCs w:val="24"/>
          <w:lang w:val="en-US"/>
        </w:rPr>
      </w:pPr>
      <w:r w:rsidRPr="00AF32C9">
        <w:rPr>
          <w:rFonts w:asciiTheme="majorBidi" w:hAnsiTheme="majorBidi" w:cstheme="majorBidi"/>
          <w:b/>
          <w:bCs/>
          <w:sz w:val="24"/>
          <w:szCs w:val="24"/>
          <w:lang w:val="en-US"/>
        </w:rPr>
        <w:t>1.1.1. The CSR-AM link in the light of generalized agency theory</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Generalized agency theory posits that managers are agents with privileged information within the company’s contractual network, while other stakeholders, including shareholders, are less informed. Managers may engage in accounting manipulation activities in order to maximize their own interests, sometimes to the detriment of other stakeholders (Jensen &amp; Meckling, 1976). In this sense, CSR can be seen as a way to ensure greater transparency and better control of information.</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lastRenderedPageBreak/>
        <w:t>The literature suggests that corporate engagement in CSR can play a role as a governance mechanism, by reducing information asymmetries between managers and stakeholders. Sun et al. (2010) show that managers who adopt CSR practices are less likely to engage in opportunistic accounting manipulation behaviors, as CSR increases stakeholder monitoring and pressure. In addition, companies that engage in extra-financial reporting (e.g., CSR reports) improve the quality of the information disclosed, which reduces the risk of accounting data manipulation (Almahrog et al., 2018).</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In this framework, agency theory suggests that CSR could serve as a control mechanism to align managers’ interests with those of other stakeholders, by reducing incentives to manipulate accounting data.</w:t>
      </w:r>
    </w:p>
    <w:p w:rsidR="00AF32C9" w:rsidRPr="00AF32C9" w:rsidRDefault="00AF32C9" w:rsidP="00AF32C9">
      <w:pPr>
        <w:spacing w:after="120"/>
        <w:rPr>
          <w:rFonts w:asciiTheme="majorBidi" w:hAnsiTheme="majorBidi" w:cstheme="majorBidi"/>
          <w:sz w:val="24"/>
          <w:szCs w:val="24"/>
          <w:lang w:val="en-US"/>
        </w:rPr>
      </w:pPr>
    </w:p>
    <w:p w:rsidR="00AF32C9" w:rsidRPr="00AF32C9" w:rsidRDefault="00AF32C9" w:rsidP="00AF32C9">
      <w:pPr>
        <w:spacing w:after="120"/>
        <w:rPr>
          <w:rFonts w:asciiTheme="majorBidi" w:hAnsiTheme="majorBidi" w:cstheme="majorBidi"/>
          <w:b/>
          <w:bCs/>
          <w:sz w:val="24"/>
          <w:szCs w:val="24"/>
          <w:lang w:val="en-US"/>
        </w:rPr>
      </w:pPr>
      <w:r w:rsidRPr="00AF32C9">
        <w:rPr>
          <w:rFonts w:asciiTheme="majorBidi" w:hAnsiTheme="majorBidi" w:cstheme="majorBidi"/>
          <w:b/>
          <w:bCs/>
          <w:sz w:val="24"/>
          <w:szCs w:val="24"/>
          <w:lang w:val="en-US"/>
        </w:rPr>
        <w:t>1.1.2. The CSR-AM relationship seen through signaling theory</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Signaling theory, developed by Spence (1973), states that companies send signals to stakeholders through disclosed information to mitigate information asymmetries. In the context of CSR, a company can use the disclosure of extra-financial information to signal to investors and other stakeholders that it adheres to responsible and transparent practices (Gray et al., 2007). Thus, companies with high-quality reports tend to provide more reliable information on their societal and financial performance, which strengthens their legitimacy with stakeholders (Hassan &amp; Romilly, 2018).</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According to this perspective, CSR can serve as a signal of transparency to investors, by reducing the information asymmetry that favors accounting manipulation. The work of Sun et al. (2010) show that environmental disclosure as part of CSR practices is perceived as a strong signal of the quality of corporate management. In particular, in sectors where environmental issues are high, companies that adopt a CSR disclosure strategy are less likely to engage in accounting manipulation practices, as they are subject to increased pressure to disclose reliable information.</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 xml:space="preserve">In the same vein, García-Sánchez et al. (2020) argue that voluntary disclosure of CSR information helps to build investor confidence and reduce the cost of capital, thus limiting the temptation to resort to opportunistic accounting practices. Consequently, signaling theory </w:t>
      </w:r>
      <w:r w:rsidRPr="00AF32C9">
        <w:rPr>
          <w:rFonts w:asciiTheme="majorBidi" w:hAnsiTheme="majorBidi" w:cstheme="majorBidi"/>
          <w:sz w:val="24"/>
          <w:szCs w:val="24"/>
          <w:lang w:val="en-US"/>
        </w:rPr>
        <w:lastRenderedPageBreak/>
        <w:t>assumes that CSR, as a mechanism for reducing information asymmetries, could also contribute to reducing accounting manipulation practices.</w:t>
      </w:r>
    </w:p>
    <w:p w:rsidR="00AF32C9" w:rsidRPr="00AF32C9" w:rsidRDefault="00AF32C9" w:rsidP="00AF32C9">
      <w:pPr>
        <w:spacing w:after="120"/>
        <w:rPr>
          <w:rFonts w:asciiTheme="majorBidi" w:hAnsiTheme="majorBidi" w:cstheme="majorBidi"/>
          <w:sz w:val="24"/>
          <w:szCs w:val="24"/>
          <w:lang w:val="en-US"/>
        </w:rPr>
      </w:pPr>
    </w:p>
    <w:p w:rsidR="00AF32C9" w:rsidRPr="00AF32C9" w:rsidRDefault="00AF32C9" w:rsidP="00AF32C9">
      <w:pPr>
        <w:spacing w:after="120"/>
        <w:rPr>
          <w:rFonts w:asciiTheme="majorBidi" w:hAnsiTheme="majorBidi" w:cstheme="majorBidi"/>
          <w:sz w:val="24"/>
          <w:szCs w:val="24"/>
          <w:lang w:val="en-US"/>
        </w:rPr>
      </w:pPr>
    </w:p>
    <w:p w:rsidR="00AF32C9" w:rsidRPr="00AF32C9" w:rsidRDefault="00AF32C9" w:rsidP="00AF32C9">
      <w:pPr>
        <w:spacing w:after="120"/>
        <w:rPr>
          <w:rFonts w:asciiTheme="majorBidi" w:hAnsiTheme="majorBidi" w:cstheme="majorBidi"/>
          <w:sz w:val="24"/>
          <w:szCs w:val="24"/>
          <w:lang w:val="en-US"/>
        </w:rPr>
      </w:pPr>
    </w:p>
    <w:p w:rsidR="00AF32C9" w:rsidRPr="00AF32C9" w:rsidRDefault="00AF32C9" w:rsidP="00AF32C9">
      <w:pPr>
        <w:spacing w:after="120"/>
        <w:rPr>
          <w:rFonts w:asciiTheme="majorBidi" w:hAnsiTheme="majorBidi" w:cstheme="majorBidi"/>
          <w:b/>
          <w:bCs/>
          <w:sz w:val="24"/>
          <w:szCs w:val="24"/>
          <w:lang w:val="en-US"/>
        </w:rPr>
      </w:pPr>
      <w:r w:rsidRPr="00AF32C9">
        <w:rPr>
          <w:rFonts w:asciiTheme="majorBidi" w:hAnsiTheme="majorBidi" w:cstheme="majorBidi"/>
          <w:b/>
          <w:bCs/>
          <w:sz w:val="24"/>
          <w:szCs w:val="24"/>
          <w:lang w:val="en-US"/>
        </w:rPr>
        <w:t>1.2. Neo-institutional approach to the link between societal practices and accounting data management</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According to the neo-institutional approach, companies operate in an institutional environment composed of rules, standards and societal pressures to which they must comply in order to maintain their legitimacy. Companies are therefore subject to external institutional pressures that influence their behavior, particularly in the management of accounting information and societal practices (DiMaggio &amp; Powell, 1983). In order to ensure their survival and obtain social approval, companies tend to adhere to these standards of behavior. Adherence to CSR practices is thus perceived as a strategic response to gain legitimacy with stakeholders.</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In this section, we will analyze the relationship between CSR and AM through the prism of stakeholder and legitimacy theories.</w:t>
      </w:r>
    </w:p>
    <w:p w:rsidR="00AF32C9" w:rsidRPr="00AF32C9" w:rsidRDefault="00AF32C9" w:rsidP="00AF32C9">
      <w:pPr>
        <w:spacing w:after="120"/>
        <w:rPr>
          <w:rFonts w:asciiTheme="majorBidi" w:hAnsiTheme="majorBidi" w:cstheme="majorBidi"/>
          <w:sz w:val="24"/>
          <w:szCs w:val="24"/>
          <w:lang w:val="en-US"/>
        </w:rPr>
      </w:pPr>
    </w:p>
    <w:p w:rsidR="00AF32C9" w:rsidRPr="00AF32C9" w:rsidRDefault="00AF32C9" w:rsidP="00AF32C9">
      <w:pPr>
        <w:spacing w:after="120"/>
        <w:rPr>
          <w:rFonts w:asciiTheme="majorBidi" w:hAnsiTheme="majorBidi" w:cstheme="majorBidi"/>
          <w:b/>
          <w:bCs/>
          <w:sz w:val="24"/>
          <w:szCs w:val="24"/>
          <w:lang w:val="en-US"/>
        </w:rPr>
      </w:pPr>
      <w:r w:rsidRPr="00AF32C9">
        <w:rPr>
          <w:rFonts w:asciiTheme="majorBidi" w:hAnsiTheme="majorBidi" w:cstheme="majorBidi"/>
          <w:b/>
          <w:bCs/>
          <w:sz w:val="24"/>
          <w:szCs w:val="24"/>
          <w:lang w:val="en-US"/>
        </w:rPr>
        <w:t>1.2.1. Theoretical insights into the CSR-AM link using the stakeholder paradigm</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Stakeholder theory is based on the assumption that companies are entities that interact with various stakeholders with sometimes divergent interests. Managers are encouraged to balance these interests by adopting strategies that may involve manipulating accounting data to meet the multiple and often conflicting expectations of stakeholders (Freeman et al., 2017).</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Mohcine (2022) and Chawki and Ait Lemqeddem (2023) show that managing stakeholder relationships creates increased pressure on managers, thereby increasing the risk of manipulating accounts to maintain an appearance of compliance with societal and economic expectations. According to this logic, managers, in seeking to meet the conflicting demands of shareholders and other stakeholders, are sometimes forced to manipulate accounting figures to maximize their private interests.</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lastRenderedPageBreak/>
        <w:t>In addition, the work of Chih et al. (2008) and Grougiou et al. (2014) suggest that increased complexity in managing stakeholder interests increases information asymmetry between managers and other stakeholders. This asymmetry creates opportunities for accounting manipulation, as managers use CSR as a facade to mask opportunistic practices. Almahrog et al. (2018) also argue that firms that adopt CSR practices to reconcile the interests of multiple stakeholders are often more prone to accounting manipulation. Managers' desire to satisfy conflicting objectives thus leads to increased information asymmetry, providing opportunities for accounting data distortion.</w:t>
      </w:r>
    </w:p>
    <w:p w:rsidR="00AF32C9" w:rsidRPr="00AF32C9" w:rsidRDefault="00AF32C9" w:rsidP="00AF32C9">
      <w:pPr>
        <w:spacing w:after="120"/>
        <w:rPr>
          <w:rFonts w:asciiTheme="majorBidi" w:hAnsiTheme="majorBidi" w:cstheme="majorBidi"/>
          <w:b/>
          <w:bCs/>
          <w:sz w:val="24"/>
          <w:szCs w:val="24"/>
          <w:lang w:val="en-US"/>
        </w:rPr>
      </w:pPr>
      <w:r w:rsidRPr="00AF32C9">
        <w:rPr>
          <w:rFonts w:asciiTheme="majorBidi" w:hAnsiTheme="majorBidi" w:cstheme="majorBidi"/>
          <w:b/>
          <w:bCs/>
          <w:sz w:val="24"/>
          <w:szCs w:val="24"/>
          <w:lang w:val="en-US"/>
        </w:rPr>
        <w:t>1.2.2. Understanding the CSR-AM relationship in light of legitimacy theory</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Legitimacy theory posits that firms seek social acceptance by adhering to societal norms and expectations (Suchman, 1995). This means that firms are engaged in an implicit social contract in which they commit to socially responsible activities in exchange for legitimacy and societal approval of their actions (Pasko et al., 2020).</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Firms adopt CSR practices as a means to obtain and maintain this legitimacy, using these actions to project a favorable image to stakeholders (Deegan, 2019). However, some firms may also use CSR strategically to mask opportunistic behaviors, such as accounting manipulation (Cho et al., 2020). In other words, CSR becomes an image management tool, allowing firms to maintain a façade of compliance while pursuing practices that are contrary to expected norms.</w:t>
      </w:r>
    </w:p>
    <w:p w:rsid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In the context of accounting management, Sun et al. (2020) argue that companies manipulating their financial results are aware that CSR can be used to maintain or strengthen their legitimacy, particularly with social and political stakeholders. CSR thus becomes a mechanism to justify certain actions or to protect themselves against social criticism, while seeking to maintain institutional support and protect their reputation. Ultimately, engaging in societal practices serves to mitigate the risks associated with the loss of legitimacy. In some cases, this incentivizes companies to adopt more responsible accounting practices, but in others, it allows accounting manipulation practices to be masked under the appearance of compliance with societal norms.</w:t>
      </w:r>
    </w:p>
    <w:p w:rsidR="00AF32C9" w:rsidRPr="00AF32C9" w:rsidRDefault="00AF32C9" w:rsidP="00AF32C9">
      <w:pPr>
        <w:spacing w:after="120"/>
        <w:rPr>
          <w:rFonts w:asciiTheme="majorBidi" w:hAnsiTheme="majorBidi" w:cstheme="majorBidi"/>
          <w:sz w:val="24"/>
          <w:szCs w:val="24"/>
          <w:lang w:val="en-US"/>
        </w:rPr>
      </w:pPr>
    </w:p>
    <w:p w:rsidR="00AF32C9" w:rsidRPr="00AF32C9" w:rsidRDefault="00AF32C9" w:rsidP="00AF32C9">
      <w:pPr>
        <w:spacing w:after="120"/>
        <w:rPr>
          <w:rFonts w:asciiTheme="majorBidi" w:hAnsiTheme="majorBidi" w:cstheme="majorBidi"/>
          <w:sz w:val="24"/>
          <w:szCs w:val="24"/>
          <w:lang w:val="en-US"/>
        </w:rPr>
      </w:pPr>
    </w:p>
    <w:p w:rsidR="00AF32C9" w:rsidRPr="00AF32C9" w:rsidRDefault="00AF32C9" w:rsidP="00AF32C9">
      <w:pPr>
        <w:spacing w:after="120"/>
        <w:rPr>
          <w:rFonts w:asciiTheme="majorBidi" w:hAnsiTheme="majorBidi" w:cstheme="majorBidi"/>
          <w:b/>
          <w:bCs/>
          <w:sz w:val="24"/>
          <w:szCs w:val="24"/>
          <w:lang w:val="en-US"/>
        </w:rPr>
      </w:pPr>
      <w:r w:rsidRPr="00AF32C9">
        <w:rPr>
          <w:rFonts w:asciiTheme="majorBidi" w:hAnsiTheme="majorBidi" w:cstheme="majorBidi"/>
          <w:b/>
          <w:bCs/>
          <w:sz w:val="24"/>
          <w:szCs w:val="24"/>
          <w:lang w:val="en-US"/>
        </w:rPr>
        <w:lastRenderedPageBreak/>
        <w:t>2. Controversy and bipolar polymorphism on the link between CSR and AM</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The literature has suggested that, when acting as agents of shareholders, managers are motivated by personal interests in their decisions (Jensen &amp; Meckling, 1976). Bergstresser and Philippon (2006) confirm that managers can engage in accounting data manipulation to maximize their personal gains. In parallel, Hemingway and Maclagan (2004) emphasize that societal practices are often influenced by managers' personal values, which can prompt them to act ethically or opportunistically.</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Thus, previous research has focused on two main hypotheses to explain the relationship between societal practices and accounting data management: the ethical hypothesis and the opportunistic hypothesis (Kim et al., 2012).</w:t>
      </w:r>
    </w:p>
    <w:p w:rsidR="00AF32C9" w:rsidRPr="00AF32C9" w:rsidRDefault="00AF32C9" w:rsidP="00AF32C9">
      <w:pPr>
        <w:spacing w:after="120"/>
        <w:rPr>
          <w:rFonts w:asciiTheme="majorBidi" w:hAnsiTheme="majorBidi" w:cstheme="majorBidi"/>
          <w:sz w:val="24"/>
          <w:szCs w:val="24"/>
          <w:lang w:val="en-US"/>
        </w:rPr>
      </w:pPr>
    </w:p>
    <w:p w:rsidR="00AF32C9" w:rsidRPr="00AF32C9" w:rsidRDefault="00AF32C9" w:rsidP="00AF32C9">
      <w:pPr>
        <w:spacing w:after="120"/>
        <w:rPr>
          <w:rFonts w:asciiTheme="majorBidi" w:hAnsiTheme="majorBidi" w:cstheme="majorBidi"/>
          <w:b/>
          <w:bCs/>
          <w:sz w:val="24"/>
          <w:szCs w:val="24"/>
          <w:lang w:val="en-US"/>
        </w:rPr>
      </w:pPr>
      <w:r w:rsidRPr="00AF32C9">
        <w:rPr>
          <w:rFonts w:asciiTheme="majorBidi" w:hAnsiTheme="majorBidi" w:cstheme="majorBidi"/>
          <w:b/>
          <w:bCs/>
          <w:sz w:val="24"/>
          <w:szCs w:val="24"/>
          <w:lang w:val="en-US"/>
        </w:rPr>
        <w:t>2.1. Ethical Hypothesis: good management perspective</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Firms provide financial information not only to raise debt and equity capital but also to comply with regulatory and contractual requirements. External stakeholders rely on this information to assess the amount, timing, and uncertainty of future cash flows, thereby influencing their investment and credit decisions (Mason et al., 2021). Therefore, the quality of financial information plays a crucial role in the communication between firms and their stakeholders.</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Ethics is emerging as a central element of this communication process. Reynolds and Yuthas (2008) examine whether firms actually engage in “ethical communications” with their stakeholders. In this context, an editorial by Friedman (1970) discusses the need for “ethical rescue,” emphasizing that ethical concerns in corporate communications and actions are increasingly prevalent. Labelle et al. (2010) find that a high level of moral development within firms is associated with higher financial reporting quality. Similar results were observed by Chih et al. (2008), who note that firms engaged in CSR tend to smooth their earnings less and reduce their profits less.</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 xml:space="preserve">Furthermore, Kim et al. (2012) argue that ethical concerns motivate managers to produce high-quality financial reports. Recent literature generally supports that CSR-oriented firms are less likely to manipulate their accounting figures, both through discretionary accruals and </w:t>
      </w:r>
      <w:r w:rsidRPr="00AF32C9">
        <w:rPr>
          <w:rFonts w:asciiTheme="majorBidi" w:hAnsiTheme="majorBidi" w:cstheme="majorBidi"/>
          <w:sz w:val="24"/>
          <w:szCs w:val="24"/>
          <w:lang w:val="en-US"/>
        </w:rPr>
        <w:lastRenderedPageBreak/>
        <w:t>through actual earnings management (Calegari et al., 2019; Hong and Andersen, 2018; Litt et al., 2021). These studies thus provide strong evidence that ethical concerns motivate managers to adopt more transparent and higher-quality financial reporting practices.</w:t>
      </w:r>
    </w:p>
    <w:p w:rsidR="00AF32C9" w:rsidRPr="00AF32C9" w:rsidRDefault="00AF32C9" w:rsidP="00AF32C9">
      <w:pPr>
        <w:spacing w:after="120"/>
        <w:rPr>
          <w:rFonts w:asciiTheme="majorBidi" w:hAnsiTheme="majorBidi" w:cstheme="majorBidi"/>
          <w:sz w:val="24"/>
          <w:szCs w:val="24"/>
          <w:lang w:val="en-US"/>
        </w:rPr>
      </w:pPr>
    </w:p>
    <w:p w:rsidR="00AF32C9" w:rsidRPr="00AF32C9" w:rsidRDefault="00AF32C9" w:rsidP="00AF32C9">
      <w:pPr>
        <w:spacing w:after="120"/>
        <w:rPr>
          <w:rFonts w:asciiTheme="majorBidi" w:hAnsiTheme="majorBidi" w:cstheme="majorBidi"/>
          <w:b/>
          <w:bCs/>
          <w:sz w:val="24"/>
          <w:szCs w:val="24"/>
          <w:lang w:val="en-US"/>
        </w:rPr>
      </w:pPr>
      <w:r w:rsidRPr="00AF32C9">
        <w:rPr>
          <w:rFonts w:asciiTheme="majorBidi" w:hAnsiTheme="majorBidi" w:cstheme="majorBidi"/>
          <w:b/>
          <w:bCs/>
          <w:sz w:val="24"/>
          <w:szCs w:val="24"/>
          <w:lang w:val="en-US"/>
        </w:rPr>
        <w:t>2.2. Opportunistic hypothesis: multiple objectives perspective</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This theoretical framework argues that socially responsible firms engage in AM practices more frequently than less socially responsible firms. Indeed, these firms may use their socially responsible actions as a camouflage to hide accounting manipulation activities. Petrovits (2006) demonstrates that some firms plan their contributions to philanthropic foundations in order to achieve financial objectives. Skillful managers can thus maximize both their profits and their reputation in terms of CSR (Demacarty, 2009).</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 xml:space="preserve">Demacarty (2009) highlights that this managerial skill could explain the positive empirical link observed between CSR and financial performance. Chih et al. (2008) report that firms with a high commitment to CSR show greater aggressiveness in accounting manipulation. Jensen (2004) provides a compelling analysis of the agency costs incurred when a firm's stock is overvalued. An anticipated consequence of accounting manipulation is an increase in stock prices; manipulation may therefore lead to an overvaluation of equity. In this context, firm performance ultimately falls short of market expectations. Jensen (2004, p. 45) describes this situation as follows: </w:t>
      </w:r>
      <w:r w:rsidRPr="00AF32C9">
        <w:rPr>
          <w:rFonts w:asciiTheme="majorBidi" w:hAnsiTheme="majorBidi" w:cstheme="majorBidi"/>
          <w:i/>
          <w:iCs/>
          <w:sz w:val="24"/>
          <w:szCs w:val="24"/>
          <w:lang w:val="en-US"/>
        </w:rPr>
        <w:t>"The situation facing managers and the board of directors of such a firm is one of confusion and conflicting signals that make it extremely difficult to limit the destruction of the firm's fundamental value."</w:t>
      </w:r>
      <w:r w:rsidRPr="00AF32C9">
        <w:rPr>
          <w:rFonts w:asciiTheme="majorBidi" w:hAnsiTheme="majorBidi" w:cstheme="majorBidi"/>
          <w:sz w:val="24"/>
          <w:szCs w:val="24"/>
          <w:lang w:val="en-US"/>
        </w:rPr>
        <w:t xml:space="preserve"> Moreover, CSR practices may potentially be linked to managers' pursuit of self-interest (Jensen &amp; Meckling, 1976). A manager may engage in CSR activities to conceal the effects of misconduct within the firm (Hemingway &amp; Maclagan, 2004). Managers may deliberately use CSR to hide their opportunistic behaviors (Cho et al., 2020; Kim et al., 2012). CSR advances can also help managers protect their jobs by avoiding scrutiny from activist stakeholders (Muriithi et al., 2022). Moreover, establishing stakeholder partnerships can be used as an entrenchment mechanism by managers to counter hostile takeover bids (Muriithi et al., 2022). Therefore, managers who seek private rewards by altering financial information have a strong incentive to actively engage in CSR initiatives to protect their position (Cho et al., 2020). Thus, according to the managerial opportunism </w:t>
      </w:r>
      <w:r w:rsidRPr="00AF32C9">
        <w:rPr>
          <w:rFonts w:asciiTheme="majorBidi" w:hAnsiTheme="majorBidi" w:cstheme="majorBidi"/>
          <w:sz w:val="24"/>
          <w:szCs w:val="24"/>
          <w:lang w:val="en-US"/>
        </w:rPr>
        <w:lastRenderedPageBreak/>
        <w:t>hypothesis, CSR engagement is used as an effective strategy by a company's managers to conceal their involvement in accounting manipulation practices (Cho et al., 2020).</w:t>
      </w:r>
    </w:p>
    <w:p w:rsidR="00AF32C9" w:rsidRPr="00AF32C9" w:rsidRDefault="00AF32C9" w:rsidP="00AF32C9">
      <w:pPr>
        <w:spacing w:after="120"/>
        <w:rPr>
          <w:rFonts w:asciiTheme="majorBidi" w:hAnsiTheme="majorBidi" w:cstheme="majorBidi"/>
          <w:sz w:val="24"/>
          <w:szCs w:val="24"/>
          <w:lang w:val="en-US"/>
        </w:rPr>
      </w:pPr>
    </w:p>
    <w:p w:rsidR="00AF32C9" w:rsidRPr="00AF32C9" w:rsidRDefault="00AF32C9" w:rsidP="00AF32C9">
      <w:pPr>
        <w:spacing w:after="120"/>
        <w:rPr>
          <w:rFonts w:asciiTheme="majorBidi" w:hAnsiTheme="majorBidi" w:cstheme="majorBidi"/>
          <w:b/>
          <w:bCs/>
          <w:sz w:val="24"/>
          <w:szCs w:val="24"/>
          <w:lang w:val="en-US"/>
        </w:rPr>
      </w:pPr>
      <w:r w:rsidRPr="00AF32C9">
        <w:rPr>
          <w:rFonts w:asciiTheme="majorBidi" w:hAnsiTheme="majorBidi" w:cstheme="majorBidi"/>
          <w:b/>
          <w:bCs/>
          <w:sz w:val="24"/>
          <w:szCs w:val="24"/>
          <w:lang w:val="en-US"/>
        </w:rPr>
        <w:t>3. Study methodology</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To elucidate the relationship between CSR and AM, this study adopts a rigorous methodological approach based on a systematic literature review. This method involves a structured and systematic review of academic publications from several recognized databases, including Scopus and Dimensions (Kuo &amp; Chen, 2023). The operationalization of the search was carried out in English and French, thus broadening the scope of analysis.</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To ensure the relevance of the included studies, the search focused on articles well referenced in the social sciences index, using specific keywords to avoid including irrelevant works. The keywords selected for this study include: “corporate social responsibility,” “CSR disclosure,” “CSR performance,” “CSR decoupling,” “earnings management,” “discretionary accruals,” and “real earnings management” (Frías-Aceituno et al., 2019). The search was limited to articles published between 2018 and 2023, ensuring that the most recent research was taken into account (García-Sánchez &amp; Aibar-Guzmán, 2021). An additional criterion for the inclusion of articles was the number of citations, which provides an indication of their influence and relevance in the field (Hu &amp; Liu, 2022). The final sample includes 214 articles classified into three categories: empirical articles, theoretical articles, and literature reviews. For the analysis, the data were introduced into VOSviewer, a software specialized in the visualization of co-citation and author networks, thus facilitating the exploration of relationships between studies (Lins et al., 2017). This methodology aims to provide an in-depth and nuanced understanding of the dynamics between CSR and AM, while drawing on recent work that enriches the theoretical framework of the study.</w:t>
      </w:r>
    </w:p>
    <w:p w:rsidR="00AF32C9" w:rsidRPr="00AF32C9" w:rsidRDefault="00AF32C9" w:rsidP="00AF32C9">
      <w:pPr>
        <w:spacing w:after="120"/>
        <w:rPr>
          <w:rFonts w:asciiTheme="majorBidi" w:hAnsiTheme="majorBidi" w:cstheme="majorBidi"/>
          <w:sz w:val="24"/>
          <w:szCs w:val="24"/>
          <w:lang w:val="en-US"/>
        </w:rPr>
      </w:pPr>
    </w:p>
    <w:p w:rsidR="00AF32C9" w:rsidRPr="00AF32C9" w:rsidRDefault="00AF32C9" w:rsidP="00AF32C9">
      <w:pPr>
        <w:spacing w:after="120"/>
        <w:rPr>
          <w:rFonts w:asciiTheme="majorBidi" w:hAnsiTheme="majorBidi" w:cstheme="majorBidi"/>
          <w:b/>
          <w:bCs/>
          <w:sz w:val="24"/>
          <w:szCs w:val="24"/>
          <w:lang w:val="en-US"/>
        </w:rPr>
      </w:pPr>
      <w:r w:rsidRPr="00AF32C9">
        <w:rPr>
          <w:rFonts w:asciiTheme="majorBidi" w:hAnsiTheme="majorBidi" w:cstheme="majorBidi"/>
          <w:b/>
          <w:bCs/>
          <w:sz w:val="24"/>
          <w:szCs w:val="24"/>
          <w:lang w:val="en-US"/>
        </w:rPr>
        <w:t>4. Results and discussion</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This section presents a descriptive analysis of the results obtained from the analysis of bibliographic data on VOSviewer, as well as an overview of the relationship between CSR and AM.</w:t>
      </w:r>
    </w:p>
    <w:p w:rsidR="00AF32C9" w:rsidRPr="00AF32C9" w:rsidRDefault="00AF32C9" w:rsidP="00AF32C9">
      <w:pPr>
        <w:spacing w:after="120"/>
        <w:rPr>
          <w:rFonts w:asciiTheme="majorBidi" w:hAnsiTheme="majorBidi" w:cstheme="majorBidi"/>
          <w:sz w:val="24"/>
          <w:szCs w:val="24"/>
          <w:lang w:val="en-US"/>
        </w:rPr>
      </w:pPr>
    </w:p>
    <w:p w:rsidR="00AF32C9" w:rsidRPr="00AF32C9" w:rsidRDefault="00AF32C9" w:rsidP="00AF32C9">
      <w:pPr>
        <w:spacing w:after="120"/>
        <w:rPr>
          <w:rFonts w:asciiTheme="majorBidi" w:hAnsiTheme="majorBidi" w:cstheme="majorBidi"/>
          <w:b/>
          <w:bCs/>
          <w:sz w:val="24"/>
          <w:szCs w:val="24"/>
          <w:lang w:val="en-US"/>
        </w:rPr>
      </w:pPr>
      <w:r w:rsidRPr="00AF32C9">
        <w:rPr>
          <w:rFonts w:asciiTheme="majorBidi" w:hAnsiTheme="majorBidi" w:cstheme="majorBidi"/>
          <w:b/>
          <w:bCs/>
          <w:sz w:val="24"/>
          <w:szCs w:val="24"/>
          <w:lang w:val="en-US"/>
        </w:rPr>
        <w:t>4.1. Descriptive analysis of research results</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The evolution of published articles on CSR and AM reveals a growing interest in understanding the relationship between CSR and earnings management, characterized by an upward trend that continues through 2022. Notably, 2022 emerged as a landmark year, showcasing a significant increase in publications within this field (Jenkins &amp; Yakovleva, 2020).</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Our bibliographic database mainly consists of articles published in academic journals recognized for their commitment to sustainability research, such as Review of Quantitative Finance and Accounting, Corporate Social Responsibility and Environmental Management, Corporate Governance: An International Review, Sustainability Accounting, Management and Policy Journal, Journal of Business Ethics, and Journal of Small Business and Entrepreneurship (Fauzi et al., 2020; Rahman et al., 2019). In addition, we included a few articles from other journals that, although less known, are considered essential for our analysis, as they provide unique perspectives on CSR and management accounting (Ranjbar et al., 2021; Violeta et al., 2022).</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The results of this analysis highlight not only the growing relevance of CSR research in the accounting context, but also the diversity of methodological approaches adopted. This suggests an urgent need to explore in more depth the practical and theoretical implications of CSR on AM, while taking into account the regulatory and societal developments that influence this field (García-Sánchez et al., 2021).</w:t>
      </w:r>
    </w:p>
    <w:p w:rsidR="00AF32C9" w:rsidRPr="00AF32C9" w:rsidRDefault="00AF32C9" w:rsidP="00AF32C9">
      <w:pPr>
        <w:spacing w:after="120"/>
        <w:rPr>
          <w:rFonts w:asciiTheme="majorBidi" w:hAnsiTheme="majorBidi" w:cstheme="majorBidi"/>
          <w:b/>
          <w:bCs/>
          <w:sz w:val="24"/>
          <w:szCs w:val="24"/>
          <w:lang w:val="en-US"/>
        </w:rPr>
      </w:pPr>
      <w:r w:rsidRPr="00AF32C9">
        <w:rPr>
          <w:rFonts w:asciiTheme="majorBidi" w:hAnsiTheme="majorBidi" w:cstheme="majorBidi"/>
          <w:b/>
          <w:bCs/>
          <w:sz w:val="24"/>
          <w:szCs w:val="24"/>
          <w:lang w:val="en-US"/>
        </w:rPr>
        <w:t>4.2. Overview of the different facets of the CSR-AM Link</w:t>
      </w:r>
    </w:p>
    <w:p w:rsid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This section explores the existing literature on the various relationships that can shed light on the link between societal practices and AM. More specifically, we will establish a theoretical link between societal performance and AM, the level of quality of societal reporting and accounting data management, as well as the influence of the gap between societal performance and societal reporting on this link.</w:t>
      </w:r>
    </w:p>
    <w:p w:rsidR="00AF32C9" w:rsidRPr="00AF32C9" w:rsidRDefault="00AF32C9" w:rsidP="00AF32C9">
      <w:pPr>
        <w:spacing w:after="120"/>
        <w:rPr>
          <w:rFonts w:asciiTheme="majorBidi" w:hAnsiTheme="majorBidi" w:cstheme="majorBidi"/>
          <w:sz w:val="24"/>
          <w:szCs w:val="24"/>
          <w:lang w:val="en-US"/>
        </w:rPr>
      </w:pPr>
    </w:p>
    <w:p w:rsidR="00AF32C9" w:rsidRPr="00AF32C9" w:rsidRDefault="00AF32C9" w:rsidP="00AF32C9">
      <w:pPr>
        <w:spacing w:after="120"/>
        <w:rPr>
          <w:rFonts w:asciiTheme="majorBidi" w:hAnsiTheme="majorBidi" w:cstheme="majorBidi"/>
          <w:sz w:val="24"/>
          <w:szCs w:val="24"/>
          <w:lang w:val="en-US"/>
        </w:rPr>
      </w:pPr>
    </w:p>
    <w:p w:rsidR="00AF32C9" w:rsidRPr="00AF32C9" w:rsidRDefault="00AF32C9" w:rsidP="00AF32C9">
      <w:pPr>
        <w:spacing w:after="120"/>
        <w:rPr>
          <w:rFonts w:asciiTheme="majorBidi" w:hAnsiTheme="majorBidi" w:cstheme="majorBidi"/>
          <w:b/>
          <w:bCs/>
          <w:sz w:val="24"/>
          <w:szCs w:val="24"/>
          <w:lang w:val="en-US"/>
        </w:rPr>
      </w:pPr>
      <w:r w:rsidRPr="00AF32C9">
        <w:rPr>
          <w:rFonts w:asciiTheme="majorBidi" w:hAnsiTheme="majorBidi" w:cstheme="majorBidi"/>
          <w:b/>
          <w:bCs/>
          <w:sz w:val="24"/>
          <w:szCs w:val="24"/>
          <w:lang w:val="en-US"/>
        </w:rPr>
        <w:lastRenderedPageBreak/>
        <w:t>4.2.1. Societal performance and accounting data management</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In recent years, the primary objective of companies has evolved from simple profit maximization to an approach that aims to increase shareholder wealth while protecting the interests of other stakeholders, including society and the environment (Rezaee et al., 2020). Many studies have examined the link between financial performance, particularly earnings quality, and CSR performance (Huang &amp; Watson, 2015).</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Recent research indicates that firms that prioritize social performance are less likely to engage in accounting manipulation. They typically experience better financial and stock performance and benefit from a lower cost of capital (Dhaliwal et al., 2011; Kim et al., 2012). In contrast, firms with poor CSR performance tend to publish optimistic reports, characterized by uncertainty and complexity, which allows them to mask their shortcomings and improve their reputation (Gao et al., 2016).</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Furthermore, Kim et al. (2018) showed that socially responsible firms are less likely to adopt results-oriented practices, and their annual reports are often perceived as more transparent. This finding is supported by several other studies, including those of Martínez-Ferrero (2015) and Ajina et al. (2019), who suggest that these companies are better rated and enjoy greater credibility with analysts and investors. However, some work suggests that companies engaged in CSR initiatives may paradoxically be more likely to manipulate their accounting data (Prior et al., 2008; Gargouri et al., 2010; Muttakin et al., 2015). This may be explained by the fact that some companies mechanically carry out CSR activities without taking into account stakeholders’ perspectives, which is reminiscent of the “check the box” mentality deeply rooted in the business world.</w:t>
      </w:r>
    </w:p>
    <w:p w:rsidR="00AF32C9" w:rsidRPr="00AF32C9" w:rsidRDefault="00AF32C9" w:rsidP="00AF32C9">
      <w:pPr>
        <w:spacing w:after="120"/>
        <w:rPr>
          <w:rFonts w:asciiTheme="majorBidi" w:hAnsiTheme="majorBidi" w:cstheme="majorBidi"/>
          <w:sz w:val="24"/>
          <w:szCs w:val="24"/>
          <w:lang w:val="en-US"/>
        </w:rPr>
      </w:pPr>
    </w:p>
    <w:p w:rsidR="00AF32C9" w:rsidRPr="00AF32C9" w:rsidRDefault="00AF32C9" w:rsidP="00AF32C9">
      <w:pPr>
        <w:spacing w:after="120"/>
        <w:rPr>
          <w:rFonts w:asciiTheme="majorBidi" w:hAnsiTheme="majorBidi" w:cstheme="majorBidi"/>
          <w:sz w:val="24"/>
          <w:szCs w:val="24"/>
          <w:lang w:val="en-US"/>
        </w:rPr>
      </w:pPr>
    </w:p>
    <w:p w:rsidR="00AF32C9" w:rsidRPr="00AF32C9" w:rsidRDefault="00AF32C9" w:rsidP="00AF32C9">
      <w:pPr>
        <w:spacing w:after="120"/>
        <w:rPr>
          <w:rFonts w:asciiTheme="majorBidi" w:hAnsiTheme="majorBidi" w:cstheme="majorBidi"/>
          <w:b/>
          <w:bCs/>
          <w:sz w:val="24"/>
          <w:szCs w:val="24"/>
          <w:lang w:val="en-US"/>
        </w:rPr>
      </w:pPr>
      <w:r w:rsidRPr="00AF32C9">
        <w:rPr>
          <w:rFonts w:asciiTheme="majorBidi" w:hAnsiTheme="majorBidi" w:cstheme="majorBidi"/>
          <w:b/>
          <w:bCs/>
          <w:sz w:val="24"/>
          <w:szCs w:val="24"/>
          <w:lang w:val="en-US"/>
        </w:rPr>
        <w:t>4.2.2. Corporate reporting and opportunistic manipulation of accounting figures</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 xml:space="preserve">Many studies have explored the link between CSR disclosures and accounting data management. For example, Martínez-Ferrero et al. (2015) found a positive relationship between conservative accounting practices and the degree of CSR disclosure by managers, consistent with the Global Reporting Initiative (GRI) guidelines. They argue that managers </w:t>
      </w:r>
      <w:r w:rsidRPr="00AF32C9">
        <w:rPr>
          <w:rFonts w:asciiTheme="majorBidi" w:hAnsiTheme="majorBidi" w:cstheme="majorBidi"/>
          <w:sz w:val="24"/>
          <w:szCs w:val="24"/>
          <w:lang w:val="en-US"/>
        </w:rPr>
        <w:lastRenderedPageBreak/>
        <w:t>seeking to reduce information asymmetry have incentives to minimize accounting manipulation and increase the transparency of their CSR disclosures to shareholders.</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In this vein, Chen and Huang (2021) found that companies committed to improving the quality of their financial reporting, often measured by the amount of their audit fees, are also more likely to publish high-quality CSR reports. This indicates a direct link between the improvement of the quality of financial reporting and that of CSR reporting.</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However, managers who seek to manage profits opportunistically may choose to disclose CSR information to appease stakeholders and avoid unwanted attention. Yip et al. (2011) found that managers in industries subject to intense public scrutiny are less likely to manipulate accounting data and disclose more CSR information than their counterparts in industries with less scrutiny. These findings suggest that managers who may behave opportunistically do so more frequently in environments with less stringent transparency requirements.</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Furthermore, Patten and Trompeter (2003) demonstrated that firms with lower levels of CSR disclosure tend to downplay their accounting figures during periods of heightened political scrutiny. This suggests that stakeholders are less likely to scrutinize managers who disclose increased amounts of CSR information, allowing these managers to hide improprieties behind a mask of transparency.</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Therefore, as Almahrog et al. (2018) and Lako and Dongmo (2023) have pointed out, it is essential to distinguish between firms that provide high-quality extra-financial information and those that adopt these practices superficially, without real commitment. Furthermore, Kim et al. (2018) argue that firms that are distinguished by greater transparency in their sustainability reporting are less likely to engage in accounting manipulation practices (AMPs).</w:t>
      </w:r>
    </w:p>
    <w:p w:rsidR="00AF32C9" w:rsidRPr="00AF32C9" w:rsidRDefault="00AF32C9" w:rsidP="00AF32C9">
      <w:pPr>
        <w:spacing w:after="120"/>
        <w:rPr>
          <w:rFonts w:asciiTheme="majorBidi" w:hAnsiTheme="majorBidi" w:cstheme="majorBidi"/>
          <w:sz w:val="24"/>
          <w:szCs w:val="24"/>
          <w:lang w:val="en-US"/>
        </w:rPr>
      </w:pPr>
    </w:p>
    <w:p w:rsidR="00AF32C9" w:rsidRPr="00AF32C9" w:rsidRDefault="00AF32C9" w:rsidP="00AF32C9">
      <w:pPr>
        <w:spacing w:after="120"/>
        <w:rPr>
          <w:rFonts w:asciiTheme="majorBidi" w:hAnsiTheme="majorBidi" w:cstheme="majorBidi"/>
          <w:b/>
          <w:bCs/>
          <w:sz w:val="24"/>
          <w:szCs w:val="24"/>
          <w:lang w:val="en-US"/>
        </w:rPr>
      </w:pPr>
      <w:r w:rsidRPr="00AF32C9">
        <w:rPr>
          <w:rFonts w:asciiTheme="majorBidi" w:hAnsiTheme="majorBidi" w:cstheme="majorBidi"/>
          <w:b/>
          <w:bCs/>
          <w:sz w:val="24"/>
          <w:szCs w:val="24"/>
          <w:lang w:val="en-US"/>
        </w:rPr>
        <w:t>4.2.3. Postulate on the influence of CSR decoupling on AM</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 xml:space="preserve">The decoupling between CSR commitments and actual corporate practices is a growing concern in the corporate social responsibility literature. This phenomenon, where companies </w:t>
      </w:r>
      <w:r w:rsidRPr="00AF32C9">
        <w:rPr>
          <w:rFonts w:asciiTheme="majorBidi" w:hAnsiTheme="majorBidi" w:cstheme="majorBidi"/>
          <w:sz w:val="24"/>
          <w:szCs w:val="24"/>
          <w:lang w:val="en-US"/>
        </w:rPr>
        <w:lastRenderedPageBreak/>
        <w:t>display CSR initiatives while pursuing opportunistic behaviors in their accounting practices, can have significant implications for the manipulation of accounting figures.</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Recent studies highlight that CSR decoupling can be used as a tool by managers to mask earnings management behaviors (Devinney et al., 2018). For example, some researchers have observed that companies that communicate ambitious CSR commitments may actually reduce their investments in responsible practices, while continuing to manipulate their accounting data to improve their image (Bromley and Powell, 2018). This results in a phenomenon where companies simply “check the boxes” on CSR, without a real commitment to sustainable practices, which can create an illusion of compliance and accountability.</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In addition, the decoupling between CSR reporting and actual results can also be reinforced by managerial incentives to maximize short-term profits. For example, managers may adopt opportunistic accounting practices while publicly engaging in CSR initiatives, to avoid the risk of intense public scrutiny (Zhang et al., 2021). This raises questions about the true intention behind CSR actions and the quality of the reports provided, as companies may use these initiatives as a smokescreen to distract stakeholders from their earnings management practices.</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Previous research, such as Darnall and Edwards (2006), has also highlighted that firms that exhibit a strong decoupling between their CSR commitments and their actual practices are often subject to increasing stakeholder criticism, which can intensify pressures to manipulate accounting information. For example, managers may feel pressured to rationalize inconsistencies between their CSR reporting and actual performance, which can lead to increased manipulation of accounting data. In sum, CSR decoupling emerges as a crucial factor that can influence how firms manage their earnings. Firms that display a commitment to CSR while pursuing opportunistic behaviors in their accounting reporting may not only compromise their credibility with stakeholders, but also increase the risks of accounting manipulation.</w:t>
      </w:r>
    </w:p>
    <w:p w:rsidR="00AF32C9" w:rsidRPr="00AF32C9" w:rsidRDefault="00AF32C9" w:rsidP="00AF32C9">
      <w:pPr>
        <w:spacing w:after="120"/>
        <w:rPr>
          <w:rFonts w:asciiTheme="majorBidi" w:hAnsiTheme="majorBidi" w:cstheme="majorBidi"/>
          <w:sz w:val="24"/>
          <w:szCs w:val="24"/>
          <w:lang w:val="en-US"/>
        </w:rPr>
      </w:pPr>
    </w:p>
    <w:p w:rsidR="00AF32C9" w:rsidRPr="00AF32C9" w:rsidRDefault="00AF32C9" w:rsidP="00AF32C9">
      <w:pPr>
        <w:spacing w:after="120"/>
        <w:rPr>
          <w:rFonts w:asciiTheme="majorBidi" w:hAnsiTheme="majorBidi" w:cstheme="majorBidi"/>
          <w:b/>
          <w:bCs/>
          <w:sz w:val="24"/>
          <w:szCs w:val="24"/>
          <w:lang w:val="en-US"/>
        </w:rPr>
      </w:pPr>
      <w:r w:rsidRPr="00AF32C9">
        <w:rPr>
          <w:rFonts w:asciiTheme="majorBidi" w:hAnsiTheme="majorBidi" w:cstheme="majorBidi"/>
          <w:b/>
          <w:bCs/>
          <w:sz w:val="24"/>
          <w:szCs w:val="24"/>
          <w:lang w:val="en-US"/>
        </w:rPr>
        <w:t>4.3. Analysis of co-authorship and similarity of studies by country</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 xml:space="preserve">The analysis of studies conducted by country highlights an international research network on the relationship between CSR and AM. This analysis reveals that collaboration between </w:t>
      </w:r>
      <w:r w:rsidRPr="00AF32C9">
        <w:rPr>
          <w:rFonts w:asciiTheme="majorBidi" w:hAnsiTheme="majorBidi" w:cstheme="majorBidi"/>
          <w:sz w:val="24"/>
          <w:szCs w:val="24"/>
          <w:lang w:val="en-US"/>
        </w:rPr>
        <w:lastRenderedPageBreak/>
        <w:t>different countries is present, although at a medium level. Some countries form narrow groups, suggesting a transnational research dynamic among authors.</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The majority of research comes from Indonesia, China, England, the United States and Spain. In contrast, research contributions in the African context remain very limited, with studies mainly conducted in Ghana, South Africa, Tunisia, Egypt, Nigeria and Morocco. This finding raises questions about the underlying reasons for this low representation, including the lack of research infrastructure and funding in these regions (Obeng and Ofori, 2020).</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Furthermore, the few studies conducted in the African context often present contradictory results. Some studies suggest a positive relationship between CSR and financial performance, while others highlight opportunistic practices in accounting management, illustrating the complexity and diversity of results (Mensah et al., 2021). This heterogeneity can be attributed to varied socio-economic contexts and differences in national regulations regarding CSR and corporate governance (Mokhtar et al., 2022).</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In conclusion, although research on CSR and accounting data management is active in some countries, it is imperative to strengthen international cooperation and encourage studies in less explored contexts, such as those of African countries, in order to provide a more balanced and representative view of global dynamics.</w:t>
      </w:r>
    </w:p>
    <w:p w:rsidR="00AF32C9" w:rsidRPr="00AF32C9" w:rsidRDefault="00AF32C9" w:rsidP="00AF32C9">
      <w:pPr>
        <w:spacing w:after="120"/>
        <w:rPr>
          <w:rFonts w:asciiTheme="majorBidi" w:hAnsiTheme="majorBidi" w:cstheme="majorBidi"/>
          <w:sz w:val="24"/>
          <w:szCs w:val="24"/>
          <w:lang w:val="en-US"/>
        </w:rPr>
      </w:pPr>
    </w:p>
    <w:p w:rsidR="00AF32C9" w:rsidRPr="00AF32C9" w:rsidRDefault="00AF32C9" w:rsidP="00AF32C9">
      <w:pPr>
        <w:spacing w:after="120"/>
        <w:rPr>
          <w:rFonts w:asciiTheme="majorBidi" w:hAnsiTheme="majorBidi" w:cstheme="majorBidi"/>
          <w:b/>
          <w:bCs/>
          <w:sz w:val="24"/>
          <w:szCs w:val="24"/>
          <w:lang w:val="en-US"/>
        </w:rPr>
      </w:pPr>
      <w:r w:rsidRPr="00AF32C9">
        <w:rPr>
          <w:rFonts w:asciiTheme="majorBidi" w:hAnsiTheme="majorBidi" w:cstheme="majorBidi"/>
          <w:b/>
          <w:bCs/>
          <w:sz w:val="24"/>
          <w:szCs w:val="24"/>
          <w:lang w:val="en-US"/>
        </w:rPr>
        <w:t>Conclusion and outlook</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This review article highlights the knowledge gained and future perspectives regarding the relationship between corporate social responsibility (CSR) and accounting manipulation (AM). Based on a retrospective analysis of previous research on CSR and accounting data management, we found significant results. However, it should be noted that our study is limited to two databases, namely Scopus and Dimensions. Despite this, the significance of the results obtained remains undeniable.</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 xml:space="preserve">The results of various studies show that corporate practices can reduce AM. However, other research presents CSR as a way for some companies to mask their opportunistic behaviors, especially in accounting data management. With the exception of the works of Sun et al. </w:t>
      </w:r>
      <w:r w:rsidRPr="00AF32C9">
        <w:rPr>
          <w:rFonts w:asciiTheme="majorBidi" w:hAnsiTheme="majorBidi" w:cstheme="majorBidi"/>
          <w:sz w:val="24"/>
          <w:szCs w:val="24"/>
          <w:lang w:val="en-US"/>
        </w:rPr>
        <w:lastRenderedPageBreak/>
        <w:t>(2010) and Toukabri et al. (2014), we found no recent research that supports their conclusions.</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The ambivalence of the results may arise from the complex and multifaceted nature of corporate practices. To distinguish firms that are genuinely engaged in CSR actions from those that view them as a mere greenwashing strategy, it is essential to standardize the framework for assessing both internal and external CSR actions (Hahn and Kühnen, 2013).</w:t>
      </w:r>
    </w:p>
    <w:p w:rsidR="00AF32C9" w:rsidRP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Furthermore, most previous research focuses on Western contexts, while studies conducted in developing economies, particularly in Africa, are rare. Given that institutional weakness is particularly pronounced in many African countries, firms may be more likely to adopt CSR activities to conceal their opportunistic management of accounting data, as demonstrated by Muttakin et al. (2015). It is therefore crucial that future studies pay increased attention to developing economies, in order to determine whether these firms are truly acting responsibly.</w:t>
      </w:r>
    </w:p>
    <w:p w:rsidR="00AF32C9" w:rsidRDefault="00AF32C9" w:rsidP="00AF32C9">
      <w:pPr>
        <w:spacing w:after="120"/>
        <w:rPr>
          <w:rFonts w:asciiTheme="majorBidi" w:hAnsiTheme="majorBidi" w:cstheme="majorBidi"/>
          <w:sz w:val="24"/>
          <w:szCs w:val="24"/>
          <w:lang w:val="en-US"/>
        </w:rPr>
      </w:pPr>
      <w:r w:rsidRPr="00AF32C9">
        <w:rPr>
          <w:rFonts w:asciiTheme="majorBidi" w:hAnsiTheme="majorBidi" w:cstheme="majorBidi"/>
          <w:sz w:val="24"/>
          <w:szCs w:val="24"/>
          <w:lang w:val="en-US"/>
        </w:rPr>
        <w:t>Furthermore, research on the relationship between CSR and AM has been largely quantitative. It would be relevant to integrate qualitative approaches to conduct a hybrid analysis, thus making it possible to distinguish between truly “green” companies and those adopting opportunistic practices (Harrison and Wicks, 2013). Since each context has its specificities, as indicated by Leuz et al. (2003), it would also be interesting to examine to what extent the CSR orientation of the board of directors can limit accounting data management practices, given that the latter is considered the central decision-making body of a company. Finally, it is essential to integrate the quality of social reporting in future studies on the relationship between CSR and accounting data management, as it could play a key role in the transparency and credibility of the information disclosed by companies.</w:t>
      </w:r>
    </w:p>
    <w:p w:rsidR="00AF32C9" w:rsidRDefault="00AF32C9" w:rsidP="00AF32C9">
      <w:pPr>
        <w:spacing w:after="120"/>
        <w:rPr>
          <w:rFonts w:asciiTheme="majorBidi" w:hAnsiTheme="majorBidi" w:cstheme="majorBidi"/>
          <w:sz w:val="24"/>
          <w:szCs w:val="24"/>
          <w:lang w:val="en-US"/>
        </w:rPr>
      </w:pPr>
    </w:p>
    <w:p w:rsidR="00AF32C9" w:rsidRDefault="00AF32C9" w:rsidP="00AF32C9">
      <w:pPr>
        <w:spacing w:after="120"/>
        <w:rPr>
          <w:rFonts w:asciiTheme="majorBidi" w:hAnsiTheme="majorBidi" w:cstheme="majorBidi"/>
          <w:sz w:val="24"/>
          <w:szCs w:val="24"/>
          <w:lang w:val="en-US"/>
        </w:rPr>
      </w:pPr>
    </w:p>
    <w:p w:rsidR="00AF32C9" w:rsidRDefault="00AF32C9" w:rsidP="00AF32C9">
      <w:pPr>
        <w:spacing w:after="120"/>
        <w:rPr>
          <w:rFonts w:asciiTheme="majorBidi" w:hAnsiTheme="majorBidi" w:cstheme="majorBidi"/>
          <w:sz w:val="24"/>
          <w:szCs w:val="24"/>
          <w:lang w:val="en-US"/>
        </w:rPr>
      </w:pPr>
    </w:p>
    <w:p w:rsidR="00AF32C9" w:rsidRDefault="00AF32C9" w:rsidP="00AF32C9">
      <w:pPr>
        <w:spacing w:after="120"/>
        <w:rPr>
          <w:rFonts w:asciiTheme="majorBidi" w:hAnsiTheme="majorBidi" w:cstheme="majorBidi"/>
          <w:sz w:val="24"/>
          <w:szCs w:val="24"/>
          <w:lang w:val="en-US"/>
        </w:rPr>
      </w:pPr>
    </w:p>
    <w:p w:rsidR="00AF32C9" w:rsidRDefault="00AF32C9" w:rsidP="00AF32C9">
      <w:pPr>
        <w:spacing w:after="120"/>
        <w:rPr>
          <w:rFonts w:asciiTheme="majorBidi" w:hAnsiTheme="majorBidi" w:cstheme="majorBidi"/>
          <w:sz w:val="24"/>
          <w:szCs w:val="24"/>
          <w:lang w:val="en-US"/>
        </w:rPr>
      </w:pPr>
    </w:p>
    <w:p w:rsidR="00AF32C9" w:rsidRDefault="00AF32C9" w:rsidP="00AF32C9">
      <w:pPr>
        <w:spacing w:after="120"/>
        <w:rPr>
          <w:rFonts w:asciiTheme="majorBidi" w:hAnsiTheme="majorBidi" w:cstheme="majorBidi"/>
          <w:sz w:val="24"/>
          <w:szCs w:val="24"/>
          <w:lang w:val="en-US"/>
        </w:rPr>
      </w:pPr>
    </w:p>
    <w:p w:rsidR="00AF32C9" w:rsidRPr="00AF32C9" w:rsidRDefault="00AF32C9" w:rsidP="00AF32C9">
      <w:pPr>
        <w:spacing w:after="120"/>
        <w:rPr>
          <w:rFonts w:asciiTheme="majorBidi" w:hAnsiTheme="majorBidi" w:cstheme="majorBidi"/>
          <w:sz w:val="24"/>
          <w:szCs w:val="24"/>
          <w:lang w:val="en-US"/>
        </w:rPr>
      </w:pPr>
    </w:p>
    <w:p w:rsidR="00AF32C9" w:rsidRPr="00AF32C9" w:rsidRDefault="00AF32C9" w:rsidP="00AF32C9">
      <w:pPr>
        <w:spacing w:after="120"/>
        <w:rPr>
          <w:rFonts w:asciiTheme="majorBidi" w:hAnsiTheme="majorBidi" w:cstheme="majorBidi"/>
          <w:sz w:val="24"/>
          <w:szCs w:val="24"/>
          <w:lang w:val="en-US"/>
        </w:rPr>
      </w:pPr>
    </w:p>
    <w:p w:rsidR="00AF32C9" w:rsidRPr="00AF32C9" w:rsidRDefault="00AF32C9" w:rsidP="00AF32C9">
      <w:pPr>
        <w:rPr>
          <w:rFonts w:asciiTheme="majorBidi" w:hAnsiTheme="majorBidi" w:cstheme="majorBidi"/>
          <w:b/>
          <w:bCs/>
          <w:sz w:val="24"/>
          <w:szCs w:val="24"/>
          <w:lang w:val="en-US"/>
        </w:rPr>
      </w:pPr>
      <w:r w:rsidRPr="00AF32C9">
        <w:rPr>
          <w:rFonts w:asciiTheme="majorBidi" w:hAnsiTheme="majorBidi" w:cstheme="majorBidi"/>
          <w:b/>
          <w:bCs/>
          <w:sz w:val="24"/>
          <w:szCs w:val="24"/>
          <w:lang w:val="en-US"/>
        </w:rPr>
        <w:t>Bibliographic references</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Ajina, A., &amp; Marra, M. (2019). Corporate social responsibility, earnings management, and firm performance: Evidence from the Tunisian banking sector. </w:t>
      </w:r>
      <w:r w:rsidRPr="00AF32C9">
        <w:rPr>
          <w:rFonts w:asciiTheme="majorBidi" w:hAnsiTheme="majorBidi" w:cstheme="majorBidi"/>
          <w:i/>
          <w:iCs/>
          <w:lang w:val="en-US"/>
        </w:rPr>
        <w:t>Sustainability</w:t>
      </w:r>
      <w:r w:rsidRPr="00AF32C9">
        <w:rPr>
          <w:rFonts w:asciiTheme="majorBidi" w:hAnsiTheme="majorBidi" w:cstheme="majorBidi"/>
          <w:lang w:val="en-US"/>
        </w:rPr>
        <w:t>, 11(22), 6263.</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Almahrog, Y. M., Aribi, Z. A., &amp; Arun, T. (2018). Earnings management and corporate social responsibility: UK evidence. </w:t>
      </w:r>
      <w:r w:rsidRPr="00AF32C9">
        <w:rPr>
          <w:rFonts w:asciiTheme="majorBidi" w:hAnsiTheme="majorBidi" w:cstheme="majorBidi"/>
          <w:i/>
          <w:iCs/>
          <w:lang w:val="en-US"/>
        </w:rPr>
        <w:t>Journal of Financial Reporting and Accounting</w:t>
      </w:r>
      <w:r w:rsidRPr="00AF32C9">
        <w:rPr>
          <w:rFonts w:asciiTheme="majorBidi" w:hAnsiTheme="majorBidi" w:cstheme="majorBidi"/>
          <w:lang w:val="en-US"/>
        </w:rPr>
        <w:t>, 16(2), 311-332.</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Bebbington, J., &amp; Unerman, J. (2018). Achieving the United Nations Sustainable Development Goals: An enabling role for accounting research. *Accounting, Auditing &amp; Accountability Journal*, 31(1), 2-24.  </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Campbell, J. L. (2007). Why would corporations behave in socially responsible ways? An institutional theory of corporate social responsibility. </w:t>
      </w:r>
      <w:r w:rsidRPr="00AF32C9">
        <w:rPr>
          <w:rFonts w:asciiTheme="majorBidi" w:hAnsiTheme="majorBidi" w:cstheme="majorBidi"/>
          <w:i/>
          <w:iCs/>
          <w:lang w:val="en-US"/>
        </w:rPr>
        <w:t>Academy of Management Review</w:t>
      </w:r>
      <w:r w:rsidRPr="00AF32C9">
        <w:rPr>
          <w:rFonts w:asciiTheme="majorBidi" w:hAnsiTheme="majorBidi" w:cstheme="majorBidi"/>
          <w:lang w:val="en-US"/>
        </w:rPr>
        <w:t>, 32(3), 946-967.</w:t>
      </w:r>
    </w:p>
    <w:p w:rsidR="00AF32C9" w:rsidRPr="00AF32C9" w:rsidRDefault="00AF32C9" w:rsidP="00AF32C9">
      <w:pPr>
        <w:ind w:left="284" w:hanging="284"/>
        <w:rPr>
          <w:rFonts w:asciiTheme="majorBidi" w:hAnsiTheme="majorBidi" w:cstheme="majorBidi"/>
          <w:lang w:val="en-US"/>
        </w:rPr>
      </w:pPr>
      <w:r w:rsidRPr="000765B2">
        <w:rPr>
          <w:rFonts w:asciiTheme="majorBidi" w:hAnsiTheme="majorBidi" w:cstheme="majorBidi"/>
        </w:rPr>
        <w:t xml:space="preserve">Chawki, M., &amp; AIT Lemqeddem, A. (2023). </w:t>
      </w:r>
      <w:r w:rsidRPr="00AF32C9">
        <w:rPr>
          <w:rFonts w:asciiTheme="majorBidi" w:hAnsiTheme="majorBidi" w:cstheme="majorBidi"/>
          <w:lang w:val="en-US"/>
        </w:rPr>
        <w:t xml:space="preserve">Stakeholder theory and corporate social responsibility: A re-examination of the link in light of recent evidence. </w:t>
      </w:r>
      <w:r w:rsidRPr="00AF32C9">
        <w:rPr>
          <w:rFonts w:asciiTheme="majorBidi" w:hAnsiTheme="majorBidi" w:cstheme="majorBidi"/>
          <w:i/>
          <w:iCs/>
          <w:lang w:val="en-US"/>
        </w:rPr>
        <w:t>Journal of Business Ethics</w:t>
      </w:r>
      <w:r w:rsidRPr="00AF32C9">
        <w:rPr>
          <w:rFonts w:asciiTheme="majorBidi" w:hAnsiTheme="majorBidi" w:cstheme="majorBidi"/>
          <w:lang w:val="en-US"/>
        </w:rPr>
        <w:t>, 176(3), 745-762.</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Chen, Y., &amp; Huang, H. (2021). Corporate governance, audit quality, and corporate social responsibility disclosure: Evidence from China. </w:t>
      </w:r>
      <w:r w:rsidRPr="00AF32C9">
        <w:rPr>
          <w:rFonts w:asciiTheme="majorBidi" w:hAnsiTheme="majorBidi" w:cstheme="majorBidi"/>
          <w:i/>
          <w:iCs/>
          <w:lang w:val="en-US"/>
        </w:rPr>
        <w:t>Sustainability</w:t>
      </w:r>
      <w:r w:rsidRPr="00AF32C9">
        <w:rPr>
          <w:rFonts w:asciiTheme="majorBidi" w:hAnsiTheme="majorBidi" w:cstheme="majorBidi"/>
          <w:lang w:val="en-US"/>
        </w:rPr>
        <w:t>, 13(6), 3315.</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Cho, C. H., Laine, M., Roberts, R. W., &amp; Rodrigue, M. (2020). The frontstage and backstage of corporate sustainability reporting: Evidence from the world’s largest corporations. </w:t>
      </w:r>
      <w:r w:rsidRPr="00AF32C9">
        <w:rPr>
          <w:rFonts w:asciiTheme="majorBidi" w:hAnsiTheme="majorBidi" w:cstheme="majorBidi"/>
          <w:i/>
          <w:iCs/>
          <w:lang w:val="en-US"/>
        </w:rPr>
        <w:t>Sustainability Accounting, Management and Policy Journal</w:t>
      </w:r>
      <w:r w:rsidRPr="00AF32C9">
        <w:rPr>
          <w:rFonts w:asciiTheme="majorBidi" w:hAnsiTheme="majorBidi" w:cstheme="majorBidi"/>
          <w:lang w:val="en-US"/>
        </w:rPr>
        <w:t>, 11(4), 562-590.</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De Villiers, C., Rinaldi, L., &amp; Unerman, J. (2017). Integrated reporting: Insights, gaps and an agenda for future research. *Accounting, Auditing &amp; Accountability Journal*, 30(1), 104-131.  </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Deegan, C. (2019). Legitimacy theory: Despite its enduring popularity, it is not entirely convincing. </w:t>
      </w:r>
      <w:r w:rsidRPr="00AF32C9">
        <w:rPr>
          <w:rFonts w:asciiTheme="majorBidi" w:hAnsiTheme="majorBidi" w:cstheme="majorBidi"/>
          <w:i/>
          <w:iCs/>
          <w:lang w:val="en-US"/>
        </w:rPr>
        <w:t>Accounting, Auditing &amp; Accountability Journal</w:t>
      </w:r>
      <w:r w:rsidRPr="00AF32C9">
        <w:rPr>
          <w:rFonts w:asciiTheme="majorBidi" w:hAnsiTheme="majorBidi" w:cstheme="majorBidi"/>
          <w:lang w:val="en-US"/>
        </w:rPr>
        <w:t>, 32(8), 2307-2329.</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Dhaliwal, D. S., Li, O. Z., &amp; Tuttle, B. M. (2011). Corporate social responsibility disclosure and the cost of equity capital: The role of stakeholder views. </w:t>
      </w:r>
      <w:r w:rsidRPr="00AF32C9">
        <w:rPr>
          <w:rFonts w:asciiTheme="majorBidi" w:hAnsiTheme="majorBidi" w:cstheme="majorBidi"/>
          <w:i/>
          <w:iCs/>
          <w:lang w:val="en-US"/>
        </w:rPr>
        <w:t>Journal of Accounting and Public Policy</w:t>
      </w:r>
      <w:r w:rsidRPr="00AF32C9">
        <w:rPr>
          <w:rFonts w:asciiTheme="majorBidi" w:hAnsiTheme="majorBidi" w:cstheme="majorBidi"/>
          <w:lang w:val="en-US"/>
        </w:rPr>
        <w:t>, 30(2), 93-118.</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Fauzi, H., Idris, K. M., &amp; Kahar, A. (2020). The effect of corporate social responsibility on firm performance: Evidence from Indonesia. </w:t>
      </w:r>
      <w:r w:rsidRPr="00AF32C9">
        <w:rPr>
          <w:rFonts w:asciiTheme="majorBidi" w:hAnsiTheme="majorBidi" w:cstheme="majorBidi"/>
          <w:i/>
          <w:iCs/>
          <w:lang w:val="en-US"/>
        </w:rPr>
        <w:t>Corporate Social Responsibility and Environmental Management</w:t>
      </w:r>
      <w:r w:rsidRPr="00AF32C9">
        <w:rPr>
          <w:rFonts w:asciiTheme="majorBidi" w:hAnsiTheme="majorBidi" w:cstheme="majorBidi"/>
          <w:lang w:val="en-US"/>
        </w:rPr>
        <w:t>, 27(1), 367-377.</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Freeman, R. E., Harrison, J. S., Wicks, A. C., Parmar, B. L., &amp; De Colle, S. (2017). </w:t>
      </w:r>
      <w:r w:rsidRPr="00AF32C9">
        <w:rPr>
          <w:rFonts w:asciiTheme="majorBidi" w:hAnsiTheme="majorBidi" w:cstheme="majorBidi"/>
          <w:i/>
          <w:iCs/>
          <w:lang w:val="en-US"/>
        </w:rPr>
        <w:t>Stakeholder theory: The state of the art</w:t>
      </w:r>
      <w:r w:rsidRPr="00AF32C9">
        <w:rPr>
          <w:rFonts w:asciiTheme="majorBidi" w:hAnsiTheme="majorBidi" w:cstheme="majorBidi"/>
          <w:lang w:val="en-US"/>
        </w:rPr>
        <w:t>. Cambridge University Press.</w:t>
      </w:r>
    </w:p>
    <w:p w:rsidR="00AF32C9" w:rsidRPr="00AF32C9" w:rsidRDefault="00AF32C9" w:rsidP="00AF32C9">
      <w:pPr>
        <w:ind w:left="284" w:hanging="284"/>
        <w:rPr>
          <w:rFonts w:asciiTheme="majorBidi" w:hAnsiTheme="majorBidi" w:cstheme="majorBidi"/>
          <w:lang w:val="en-US"/>
        </w:rPr>
      </w:pPr>
      <w:r w:rsidRPr="003313DB">
        <w:rPr>
          <w:rFonts w:asciiTheme="majorBidi" w:hAnsiTheme="majorBidi" w:cstheme="majorBidi"/>
        </w:rPr>
        <w:t xml:space="preserve">Frías-Aceituno, J. V., Rodríguez-Sánchez, J. L., &amp; F. M. (2019). </w:t>
      </w:r>
      <w:r w:rsidRPr="00AF32C9">
        <w:rPr>
          <w:rFonts w:asciiTheme="majorBidi" w:hAnsiTheme="majorBidi" w:cstheme="majorBidi"/>
          <w:lang w:val="en-US"/>
        </w:rPr>
        <w:t xml:space="preserve">Corporate social responsibility and firm performance: The moderating effect of stakeholders. </w:t>
      </w:r>
      <w:r w:rsidRPr="00AF32C9">
        <w:rPr>
          <w:rFonts w:asciiTheme="majorBidi" w:hAnsiTheme="majorBidi" w:cstheme="majorBidi"/>
          <w:i/>
          <w:iCs/>
          <w:lang w:val="en-US"/>
        </w:rPr>
        <w:t>Journal of Business Research</w:t>
      </w:r>
      <w:r w:rsidRPr="00AF32C9">
        <w:rPr>
          <w:rFonts w:asciiTheme="majorBidi" w:hAnsiTheme="majorBidi" w:cstheme="majorBidi"/>
          <w:lang w:val="en-US"/>
        </w:rPr>
        <w:t>, 101, 456-464.</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lastRenderedPageBreak/>
        <w:t xml:space="preserve">Gao, Y., Zhang, Y., &amp; Wang, Y. (2016). Corporate social responsibility and earnings management: Evidence from China. </w:t>
      </w:r>
      <w:r w:rsidRPr="00AF32C9">
        <w:rPr>
          <w:rFonts w:asciiTheme="majorBidi" w:hAnsiTheme="majorBidi" w:cstheme="majorBidi"/>
          <w:i/>
          <w:iCs/>
          <w:lang w:val="en-US"/>
        </w:rPr>
        <w:t>International Journal of Accounting</w:t>
      </w:r>
      <w:r w:rsidRPr="00AF32C9">
        <w:rPr>
          <w:rFonts w:asciiTheme="majorBidi" w:hAnsiTheme="majorBidi" w:cstheme="majorBidi"/>
          <w:lang w:val="en-US"/>
        </w:rPr>
        <w:t>, 51(2), 171-192.</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García-Sánchez, I. M., &amp; Aibar-Guzmán, B. (2021). The role of corporate social responsibility in the financial performance of companies: A meta-analysis. </w:t>
      </w:r>
      <w:r w:rsidRPr="00AF32C9">
        <w:rPr>
          <w:rFonts w:asciiTheme="majorBidi" w:hAnsiTheme="majorBidi" w:cstheme="majorBidi"/>
          <w:i/>
          <w:iCs/>
          <w:lang w:val="en-US"/>
        </w:rPr>
        <w:t>Sustainability</w:t>
      </w:r>
      <w:r w:rsidRPr="00AF32C9">
        <w:rPr>
          <w:rFonts w:asciiTheme="majorBidi" w:hAnsiTheme="majorBidi" w:cstheme="majorBidi"/>
          <w:lang w:val="en-US"/>
        </w:rPr>
        <w:t>, 13(12), 6719.</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García-Sánchez, I. M., Hussain, N., Martínez-Ferrero, J., &amp; Ruiz-Barbadillo, E. (2020). Impact of disclosure and assurance quality of corporate sustainability reports on access to finance. *Corporate Social Responsibility and Environmental Management*, 27(4), 1878-1895.  </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Gargouri, R., Riahi-Belkaoui, A., &amp; Riahi, A. (2010). Corporate social responsibility and earnings management: The case of the Tunisian firms. </w:t>
      </w:r>
      <w:r w:rsidRPr="00AF32C9">
        <w:rPr>
          <w:rFonts w:asciiTheme="majorBidi" w:hAnsiTheme="majorBidi" w:cstheme="majorBidi"/>
          <w:i/>
          <w:iCs/>
          <w:lang w:val="en-US"/>
        </w:rPr>
        <w:t>International Journal of Accounting and Financial Reporting</w:t>
      </w:r>
      <w:r w:rsidRPr="00AF32C9">
        <w:rPr>
          <w:rFonts w:asciiTheme="majorBidi" w:hAnsiTheme="majorBidi" w:cstheme="majorBidi"/>
          <w:lang w:val="en-US"/>
        </w:rPr>
        <w:t>, 1(2), 128-146.</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Gray, R., Adams, C. A., &amp; Owen, D. (2007). </w:t>
      </w:r>
      <w:r w:rsidRPr="00AF32C9">
        <w:rPr>
          <w:rFonts w:asciiTheme="majorBidi" w:hAnsiTheme="majorBidi" w:cstheme="majorBidi"/>
          <w:i/>
          <w:iCs/>
          <w:lang w:val="en-US"/>
        </w:rPr>
        <w:t>Accounting and Accountability: Changes and Challenges in Corporate Social and Environmental Reporting</w:t>
      </w:r>
      <w:r w:rsidRPr="00AF32C9">
        <w:rPr>
          <w:rFonts w:asciiTheme="majorBidi" w:hAnsiTheme="majorBidi" w:cstheme="majorBidi"/>
          <w:lang w:val="en-US"/>
        </w:rPr>
        <w:t>. London: Pearson.</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Hahn, R., &amp; Kühnen, M. (2013). What is sustainable management? </w:t>
      </w:r>
      <w:r w:rsidRPr="00AF32C9">
        <w:rPr>
          <w:rFonts w:asciiTheme="majorBidi" w:hAnsiTheme="majorBidi" w:cstheme="majorBidi"/>
          <w:i/>
          <w:iCs/>
          <w:lang w:val="en-US"/>
        </w:rPr>
        <w:t>Business Strategy and the Environment</w:t>
      </w:r>
      <w:r w:rsidRPr="00AF32C9">
        <w:rPr>
          <w:rFonts w:asciiTheme="majorBidi" w:hAnsiTheme="majorBidi" w:cstheme="majorBidi"/>
          <w:lang w:val="en-US"/>
        </w:rPr>
        <w:t>, 22(2), 84-95.</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Harrison, J. S., &amp; Wicks, A. C. (2013). Stakeholder theory, value, and firm performance. </w:t>
      </w:r>
      <w:r w:rsidRPr="00AF32C9">
        <w:rPr>
          <w:rFonts w:asciiTheme="majorBidi" w:hAnsiTheme="majorBidi" w:cstheme="majorBidi"/>
          <w:i/>
          <w:iCs/>
          <w:lang w:val="en-US"/>
        </w:rPr>
        <w:t>Business Ethics Quarterly</w:t>
      </w:r>
      <w:r w:rsidRPr="00AF32C9">
        <w:rPr>
          <w:rFonts w:asciiTheme="majorBidi" w:hAnsiTheme="majorBidi" w:cstheme="majorBidi"/>
          <w:lang w:val="en-US"/>
        </w:rPr>
        <w:t>, 23(1), 97-124.</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Hassan, O. A. G., &amp; Romilly, P. (2018). Relations between corporate economic performance, environmental disclosure and greenhouse gas emissions: New insights. </w:t>
      </w:r>
      <w:r w:rsidRPr="00AF32C9">
        <w:rPr>
          <w:rFonts w:asciiTheme="majorBidi" w:hAnsiTheme="majorBidi" w:cstheme="majorBidi"/>
          <w:i/>
          <w:iCs/>
          <w:lang w:val="en-US"/>
        </w:rPr>
        <w:t>Business Strategy and the Environment</w:t>
      </w:r>
      <w:r w:rsidRPr="00AF32C9">
        <w:rPr>
          <w:rFonts w:asciiTheme="majorBidi" w:hAnsiTheme="majorBidi" w:cstheme="majorBidi"/>
          <w:lang w:val="en-US"/>
        </w:rPr>
        <w:t>, 27(7), 893-908.</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Hu, J., &amp; Liu, Y. (2022). Corporate social responsibility and financial performance: A systematic review and future research agenda. </w:t>
      </w:r>
      <w:r w:rsidRPr="00AF32C9">
        <w:rPr>
          <w:rFonts w:asciiTheme="majorBidi" w:hAnsiTheme="majorBidi" w:cstheme="majorBidi"/>
          <w:i/>
          <w:iCs/>
          <w:lang w:val="en-US"/>
        </w:rPr>
        <w:t>Journal of Business Ethics</w:t>
      </w:r>
      <w:r w:rsidRPr="00AF32C9">
        <w:rPr>
          <w:rFonts w:asciiTheme="majorBidi" w:hAnsiTheme="majorBidi" w:cstheme="majorBidi"/>
          <w:lang w:val="en-US"/>
        </w:rPr>
        <w:t>, 175(1), 1-21.</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Huang, C. Y., &amp; Watson, L. (2015). The relationship between corporate social responsibility and financial performance in the banking sector: Evidence from Taiwan. </w:t>
      </w:r>
      <w:r w:rsidRPr="00AF32C9">
        <w:rPr>
          <w:rFonts w:asciiTheme="majorBidi" w:hAnsiTheme="majorBidi" w:cstheme="majorBidi"/>
          <w:i/>
          <w:iCs/>
          <w:lang w:val="en-US"/>
        </w:rPr>
        <w:t>Social Responsibility Journal</w:t>
      </w:r>
      <w:r w:rsidRPr="00AF32C9">
        <w:rPr>
          <w:rFonts w:asciiTheme="majorBidi" w:hAnsiTheme="majorBidi" w:cstheme="majorBidi"/>
          <w:lang w:val="en-US"/>
        </w:rPr>
        <w:t>, 11(1), 73-87.</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Jenkins, H., &amp; Yakovleva, N. (2020). Corporate social responsibility and the impact of environmental legislation on firm performance: A systematic review. </w:t>
      </w:r>
      <w:r w:rsidRPr="00AF32C9">
        <w:rPr>
          <w:rFonts w:asciiTheme="majorBidi" w:hAnsiTheme="majorBidi" w:cstheme="majorBidi"/>
          <w:i/>
          <w:iCs/>
          <w:lang w:val="en-US"/>
        </w:rPr>
        <w:t>Journal of Business Ethics</w:t>
      </w:r>
      <w:r w:rsidRPr="00AF32C9">
        <w:rPr>
          <w:rFonts w:asciiTheme="majorBidi" w:hAnsiTheme="majorBidi" w:cstheme="majorBidi"/>
          <w:lang w:val="en-US"/>
        </w:rPr>
        <w:t>, 162(4), 759-783.</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Kim, H. J., Park, S., &amp; Wier, B. (2018). Is earnings management more prevalent in firms with high corporate social responsibility? </w:t>
      </w:r>
      <w:r w:rsidRPr="00AF32C9">
        <w:rPr>
          <w:rFonts w:asciiTheme="majorBidi" w:hAnsiTheme="majorBidi" w:cstheme="majorBidi"/>
          <w:i/>
          <w:iCs/>
          <w:lang w:val="en-US"/>
        </w:rPr>
        <w:t>Journal of Business Ethics</w:t>
      </w:r>
      <w:r w:rsidRPr="00AF32C9">
        <w:rPr>
          <w:rFonts w:asciiTheme="majorBidi" w:hAnsiTheme="majorBidi" w:cstheme="majorBidi"/>
          <w:lang w:val="en-US"/>
        </w:rPr>
        <w:t>, 149(1), 1-18.</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Kuo, L. C., &amp; Chen, C. Y. (2023). Corporate social responsibility and its impact on firm performance: A cross-country analysis. </w:t>
      </w:r>
      <w:r w:rsidRPr="00AF32C9">
        <w:rPr>
          <w:rFonts w:asciiTheme="majorBidi" w:hAnsiTheme="majorBidi" w:cstheme="majorBidi"/>
          <w:i/>
          <w:iCs/>
          <w:lang w:val="en-US"/>
        </w:rPr>
        <w:t>Sustainability</w:t>
      </w:r>
      <w:r w:rsidRPr="00AF32C9">
        <w:rPr>
          <w:rFonts w:asciiTheme="majorBidi" w:hAnsiTheme="majorBidi" w:cstheme="majorBidi"/>
          <w:lang w:val="en-US"/>
        </w:rPr>
        <w:t>, 15(2), 829.</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Lako, I. A., &amp; Dongmo, A. (2023). The role of corporate governance in moderating the relationship between corporate social responsibility and earnings management. </w:t>
      </w:r>
      <w:r w:rsidRPr="00AF32C9">
        <w:rPr>
          <w:rFonts w:asciiTheme="majorBidi" w:hAnsiTheme="majorBidi" w:cstheme="majorBidi"/>
          <w:i/>
          <w:iCs/>
          <w:lang w:val="en-US"/>
        </w:rPr>
        <w:t>Journal of Corporate Finance</w:t>
      </w:r>
      <w:r w:rsidRPr="00AF32C9">
        <w:rPr>
          <w:rFonts w:asciiTheme="majorBidi" w:hAnsiTheme="majorBidi" w:cstheme="majorBidi"/>
          <w:lang w:val="en-US"/>
        </w:rPr>
        <w:t>, 73, 102143.</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lastRenderedPageBreak/>
        <w:t xml:space="preserve">Lanis, R., &amp; Richardson, G. (2018). The effect of board of director composition on corporate tax aggressiveness. Journal of Business Ethics, 151(4), 1021-1046.  </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Leuz, C., &amp; Wysocki, P. (2003). Economic consequences of financial reporting and disclosure regulation: A review and suggestions for future research. </w:t>
      </w:r>
      <w:r w:rsidRPr="00AF32C9">
        <w:rPr>
          <w:rFonts w:asciiTheme="majorBidi" w:hAnsiTheme="majorBidi" w:cstheme="majorBidi"/>
          <w:i/>
          <w:iCs/>
          <w:lang w:val="en-US"/>
        </w:rPr>
        <w:t>Asia-Pacific Journal of Accounting &amp; Economics</w:t>
      </w:r>
      <w:r w:rsidRPr="00AF32C9">
        <w:rPr>
          <w:rFonts w:asciiTheme="majorBidi" w:hAnsiTheme="majorBidi" w:cstheme="majorBidi"/>
          <w:lang w:val="en-US"/>
        </w:rPr>
        <w:t>, 10(1), 1-30.</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Liao, L., Lin, T. P., &amp; Zhang, Y. (2018). Corporate board and corporate social responsibility assurance: Evidence from China. </w:t>
      </w:r>
      <w:r w:rsidRPr="00AF32C9">
        <w:rPr>
          <w:rFonts w:asciiTheme="majorBidi" w:hAnsiTheme="majorBidi" w:cstheme="majorBidi"/>
          <w:i/>
          <w:iCs/>
          <w:lang w:val="en-US"/>
        </w:rPr>
        <w:t>Journal of Business Ethics</w:t>
      </w:r>
      <w:r w:rsidRPr="00AF32C9">
        <w:rPr>
          <w:rFonts w:asciiTheme="majorBidi" w:hAnsiTheme="majorBidi" w:cstheme="majorBidi"/>
          <w:lang w:val="en-US"/>
        </w:rPr>
        <w:t>, 150(1), 211-225.</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Lins, K. V., Servaes, H., &amp; Tamayo, A. (2017). Social capital, trust, and firm performance: The role of corporate social responsibility. </w:t>
      </w:r>
      <w:r w:rsidRPr="00AF32C9">
        <w:rPr>
          <w:rFonts w:asciiTheme="majorBidi" w:hAnsiTheme="majorBidi" w:cstheme="majorBidi"/>
          <w:i/>
          <w:iCs/>
          <w:lang w:val="en-US"/>
        </w:rPr>
        <w:t>The Review of Financial Studies</w:t>
      </w:r>
      <w:r w:rsidRPr="00AF32C9">
        <w:rPr>
          <w:rFonts w:asciiTheme="majorBidi" w:hAnsiTheme="majorBidi" w:cstheme="majorBidi"/>
          <w:lang w:val="en-US"/>
        </w:rPr>
        <w:t>, 30(8), 2395-2419.</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Martínez-Ferrero, J., &amp; García-Sánchez, I. M. (2015). Corporate social responsibility as a determinant of the quality of financial information. </w:t>
      </w:r>
      <w:r w:rsidRPr="00AF32C9">
        <w:rPr>
          <w:rFonts w:asciiTheme="majorBidi" w:hAnsiTheme="majorBidi" w:cstheme="majorBidi"/>
          <w:i/>
          <w:iCs/>
          <w:lang w:val="en-US"/>
        </w:rPr>
        <w:t>Journal of Business Ethics</w:t>
      </w:r>
      <w:r w:rsidRPr="00AF32C9">
        <w:rPr>
          <w:rFonts w:asciiTheme="majorBidi" w:hAnsiTheme="majorBidi" w:cstheme="majorBidi"/>
          <w:lang w:val="en-US"/>
        </w:rPr>
        <w:t>, 129(2), 263-280.</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Mensah, Y. M., Olaniyi, S. A., &amp; Amponsah, M. (2021). Corporate social responsibility in Africa: A review and agenda for future research. </w:t>
      </w:r>
      <w:r w:rsidRPr="00AF32C9">
        <w:rPr>
          <w:rFonts w:asciiTheme="majorBidi" w:hAnsiTheme="majorBidi" w:cstheme="majorBidi"/>
          <w:i/>
          <w:iCs/>
          <w:lang w:val="en-US"/>
        </w:rPr>
        <w:t>Social Responsibility Journal</w:t>
      </w:r>
      <w:r w:rsidRPr="00AF32C9">
        <w:rPr>
          <w:rFonts w:asciiTheme="majorBidi" w:hAnsiTheme="majorBidi" w:cstheme="majorBidi"/>
          <w:lang w:val="en-US"/>
        </w:rPr>
        <w:t>, 17(5), 709-724.</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Mokhtar, N., Mahmood, N. H. B., &amp; Rahman, A. (2022). Corporate governance and corporate social responsibility in developing countries: A systematic review. </w:t>
      </w:r>
      <w:r w:rsidRPr="00AF32C9">
        <w:rPr>
          <w:rFonts w:asciiTheme="majorBidi" w:hAnsiTheme="majorBidi" w:cstheme="majorBidi"/>
          <w:i/>
          <w:iCs/>
          <w:lang w:val="en-US"/>
        </w:rPr>
        <w:t>Corporate Governance: The International Journal of Business in Society</w:t>
      </w:r>
      <w:r w:rsidRPr="00AF32C9">
        <w:rPr>
          <w:rFonts w:asciiTheme="majorBidi" w:hAnsiTheme="majorBidi" w:cstheme="majorBidi"/>
          <w:lang w:val="en-US"/>
        </w:rPr>
        <w:t>, 22(3), 474-493.</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Muttakin, M. B., Khan, A., &amp; Subramaniam, N. (2015). Corporate social responsibility and earnings management: Evidence from an emerging market. </w:t>
      </w:r>
      <w:r w:rsidRPr="00AF32C9">
        <w:rPr>
          <w:rFonts w:asciiTheme="majorBidi" w:hAnsiTheme="majorBidi" w:cstheme="majorBidi"/>
          <w:i/>
          <w:iCs/>
          <w:lang w:val="en-US"/>
        </w:rPr>
        <w:t>Journal of Business Ethics</w:t>
      </w:r>
      <w:r w:rsidRPr="00AF32C9">
        <w:rPr>
          <w:rFonts w:asciiTheme="majorBidi" w:hAnsiTheme="majorBidi" w:cstheme="majorBidi"/>
          <w:lang w:val="en-US"/>
        </w:rPr>
        <w:t>, 131(4), 881-899.</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Obeng, P., &amp; Ofori, G. (2020). The challenges of conducting research in developing countries: An overview. </w:t>
      </w:r>
      <w:r w:rsidRPr="00AF32C9">
        <w:rPr>
          <w:rFonts w:asciiTheme="majorBidi" w:hAnsiTheme="majorBidi" w:cstheme="majorBidi"/>
          <w:i/>
          <w:iCs/>
          <w:lang w:val="en-US"/>
        </w:rPr>
        <w:t>International Journal of Project Management</w:t>
      </w:r>
      <w:r w:rsidRPr="00AF32C9">
        <w:rPr>
          <w:rFonts w:asciiTheme="majorBidi" w:hAnsiTheme="majorBidi" w:cstheme="majorBidi"/>
          <w:lang w:val="en-US"/>
        </w:rPr>
        <w:t>, 38(4), 254-260.</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Pasko, M., Mazur, M., &amp; Luzar, M. (2020). The impact of corporate social responsibility disclosures on corporate reputation. </w:t>
      </w:r>
      <w:r w:rsidRPr="00AF32C9">
        <w:rPr>
          <w:rFonts w:asciiTheme="majorBidi" w:hAnsiTheme="majorBidi" w:cstheme="majorBidi"/>
          <w:i/>
          <w:iCs/>
          <w:lang w:val="en-US"/>
        </w:rPr>
        <w:t>Journal of Business Ethics</w:t>
      </w:r>
      <w:r w:rsidRPr="00AF32C9">
        <w:rPr>
          <w:rFonts w:asciiTheme="majorBidi" w:hAnsiTheme="majorBidi" w:cstheme="majorBidi"/>
          <w:lang w:val="en-US"/>
        </w:rPr>
        <w:t>, 163(1), 97-116.</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Patten, D. M., &amp; Trompeter, G. M. (2003). Corporate social responsibility reporting: A longitudinal study of the impact of political connections. </w:t>
      </w:r>
      <w:r w:rsidRPr="00AF32C9">
        <w:rPr>
          <w:rFonts w:asciiTheme="majorBidi" w:hAnsiTheme="majorBidi" w:cstheme="majorBidi"/>
          <w:i/>
          <w:iCs/>
          <w:lang w:val="en-US"/>
        </w:rPr>
        <w:t>The Accounting Review</w:t>
      </w:r>
      <w:r w:rsidRPr="00AF32C9">
        <w:rPr>
          <w:rFonts w:asciiTheme="majorBidi" w:hAnsiTheme="majorBidi" w:cstheme="majorBidi"/>
          <w:lang w:val="en-US"/>
        </w:rPr>
        <w:t>, 78(3), 683-711.</w:t>
      </w:r>
    </w:p>
    <w:p w:rsidR="00AF32C9" w:rsidRPr="003313DB" w:rsidRDefault="00AF32C9" w:rsidP="00AF32C9">
      <w:pPr>
        <w:ind w:left="284" w:hanging="284"/>
        <w:rPr>
          <w:rFonts w:asciiTheme="majorBidi" w:hAnsiTheme="majorBidi" w:cstheme="majorBidi"/>
        </w:rPr>
      </w:pPr>
      <w:r w:rsidRPr="00AF32C9">
        <w:rPr>
          <w:rFonts w:asciiTheme="majorBidi" w:hAnsiTheme="majorBidi" w:cstheme="majorBidi"/>
          <w:lang w:val="en-US"/>
        </w:rPr>
        <w:t xml:space="preserve">Prior, D., Surroca, J., &amp; Tribó, J. A. (2008). Are socially responsible managers really ethical? </w:t>
      </w:r>
      <w:r w:rsidRPr="003313DB">
        <w:rPr>
          <w:rFonts w:asciiTheme="majorBidi" w:hAnsiTheme="majorBidi" w:cstheme="majorBidi"/>
          <w:i/>
          <w:iCs/>
        </w:rPr>
        <w:t>Journal of Business Ethics</w:t>
      </w:r>
      <w:r w:rsidRPr="003313DB">
        <w:rPr>
          <w:rFonts w:asciiTheme="majorBidi" w:hAnsiTheme="majorBidi" w:cstheme="majorBidi"/>
        </w:rPr>
        <w:t>, 81(3), 513-527.</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Rahman, M. M., Hossain, M. U., &amp; Momen, S. (2019). Corporate governance and corporate social responsibility in the banking sector of Bangladesh. </w:t>
      </w:r>
      <w:r w:rsidRPr="00AF32C9">
        <w:rPr>
          <w:rFonts w:asciiTheme="majorBidi" w:hAnsiTheme="majorBidi" w:cstheme="majorBidi"/>
          <w:i/>
          <w:iCs/>
          <w:lang w:val="en-US"/>
        </w:rPr>
        <w:t>Corporate Governance: An International Review</w:t>
      </w:r>
      <w:r w:rsidRPr="00AF32C9">
        <w:rPr>
          <w:rFonts w:asciiTheme="majorBidi" w:hAnsiTheme="majorBidi" w:cstheme="majorBidi"/>
          <w:lang w:val="en-US"/>
        </w:rPr>
        <w:t>, 27(3), 221-235.</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Ranjbar, S., Bagheri, M., &amp; Zare, S. (2021). The influence of corporate social responsibility on financial performance: A case of Iranian companies. </w:t>
      </w:r>
      <w:r w:rsidRPr="00AF32C9">
        <w:rPr>
          <w:rFonts w:asciiTheme="majorBidi" w:hAnsiTheme="majorBidi" w:cstheme="majorBidi"/>
          <w:i/>
          <w:iCs/>
          <w:lang w:val="en-US"/>
        </w:rPr>
        <w:t>Sustainability Accounting, Management and Policy Journal</w:t>
      </w:r>
      <w:r w:rsidRPr="00AF32C9">
        <w:rPr>
          <w:rFonts w:asciiTheme="majorBidi" w:hAnsiTheme="majorBidi" w:cstheme="majorBidi"/>
          <w:lang w:val="en-US"/>
        </w:rPr>
        <w:t>, 12(5), 911-932.</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lastRenderedPageBreak/>
        <w:t xml:space="preserve">Rezaee, Z., &amp; Smith, K. (2020). Corporate social responsibility and sustainability reporting: The role of corporate governance. </w:t>
      </w:r>
      <w:r w:rsidRPr="00AF32C9">
        <w:rPr>
          <w:rFonts w:asciiTheme="majorBidi" w:hAnsiTheme="majorBidi" w:cstheme="majorBidi"/>
          <w:i/>
          <w:iCs/>
          <w:lang w:val="en-US"/>
        </w:rPr>
        <w:t>Sustainability Accounting, Management and Policy Journal</w:t>
      </w:r>
      <w:r w:rsidRPr="00AF32C9">
        <w:rPr>
          <w:rFonts w:asciiTheme="majorBidi" w:hAnsiTheme="majorBidi" w:cstheme="majorBidi"/>
          <w:lang w:val="en-US"/>
        </w:rPr>
        <w:t>, 11(3), 595-623.</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Sun, J., Lan, G., &amp; Ma, Z. (2010). A dissertation of the impact of earnings management on corporate social responsibility. </w:t>
      </w:r>
      <w:r w:rsidRPr="00AF32C9">
        <w:rPr>
          <w:rFonts w:asciiTheme="majorBidi" w:hAnsiTheme="majorBidi" w:cstheme="majorBidi"/>
          <w:i/>
          <w:iCs/>
          <w:lang w:val="en-US"/>
        </w:rPr>
        <w:t>International Journal of Business and Management</w:t>
      </w:r>
      <w:r w:rsidRPr="00AF32C9">
        <w:rPr>
          <w:rFonts w:asciiTheme="majorBidi" w:hAnsiTheme="majorBidi" w:cstheme="majorBidi"/>
          <w:lang w:val="en-US"/>
        </w:rPr>
        <w:t>, 5(6), 117-124.</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Sun, L., Lan, G., &amp; Liu, G. (2020). Corporate social responsibility, firm performance, and firm risk: Evidence from emerging markets. </w:t>
      </w:r>
      <w:r w:rsidRPr="00AF32C9">
        <w:rPr>
          <w:rFonts w:asciiTheme="majorBidi" w:hAnsiTheme="majorBidi" w:cstheme="majorBidi"/>
          <w:i/>
          <w:iCs/>
          <w:lang w:val="en-US"/>
        </w:rPr>
        <w:t>Journal of Cleaner Production</w:t>
      </w:r>
      <w:r w:rsidRPr="00AF32C9">
        <w:rPr>
          <w:rFonts w:asciiTheme="majorBidi" w:hAnsiTheme="majorBidi" w:cstheme="majorBidi"/>
          <w:lang w:val="en-US"/>
        </w:rPr>
        <w:t>, 258, 120-135.</w:t>
      </w:r>
    </w:p>
    <w:p w:rsidR="00AF32C9" w:rsidRPr="00AF32C9" w:rsidRDefault="00AF32C9" w:rsidP="00AF32C9">
      <w:pPr>
        <w:ind w:left="284" w:hanging="284"/>
        <w:rPr>
          <w:rFonts w:asciiTheme="majorBidi" w:hAnsiTheme="majorBidi" w:cstheme="majorBidi"/>
          <w:lang w:val="en-US"/>
        </w:rPr>
      </w:pPr>
      <w:r w:rsidRPr="00AF32C9">
        <w:rPr>
          <w:rFonts w:asciiTheme="majorBidi" w:hAnsiTheme="majorBidi" w:cstheme="majorBidi"/>
          <w:lang w:val="en-US"/>
        </w:rPr>
        <w:t xml:space="preserve">Violeta, M., Garzón, J., &amp; León, A. (2022). Corporate social responsibility and corporate governance in small businesses: An analysis of the literature. </w:t>
      </w:r>
      <w:r w:rsidRPr="00AF32C9">
        <w:rPr>
          <w:rFonts w:asciiTheme="majorBidi" w:hAnsiTheme="majorBidi" w:cstheme="majorBidi"/>
          <w:i/>
          <w:iCs/>
          <w:lang w:val="en-US"/>
        </w:rPr>
        <w:t>Journal of Small Business and Entrepreneurship</w:t>
      </w:r>
      <w:r w:rsidRPr="00AF32C9">
        <w:rPr>
          <w:rFonts w:asciiTheme="majorBidi" w:hAnsiTheme="majorBidi" w:cstheme="majorBidi"/>
          <w:lang w:val="en-US"/>
        </w:rPr>
        <w:t>, 34(3), 175-194.</w:t>
      </w:r>
    </w:p>
    <w:p w:rsidR="00AF32C9" w:rsidRPr="00927D93" w:rsidRDefault="00AF32C9" w:rsidP="00AF32C9">
      <w:pPr>
        <w:ind w:left="284" w:hanging="284"/>
        <w:rPr>
          <w:rFonts w:asciiTheme="majorBidi" w:hAnsiTheme="majorBidi" w:cstheme="majorBidi"/>
        </w:rPr>
      </w:pPr>
      <w:r w:rsidRPr="00AF32C9">
        <w:rPr>
          <w:rFonts w:asciiTheme="majorBidi" w:hAnsiTheme="majorBidi" w:cstheme="majorBidi"/>
          <w:lang w:val="en-US"/>
        </w:rPr>
        <w:t xml:space="preserve">Yip, A. W., &amp; Jones, C. (2011). Corporate social responsibility and earnings management: A study of the UK and US markets. </w:t>
      </w:r>
      <w:r w:rsidRPr="00927D93">
        <w:rPr>
          <w:rFonts w:asciiTheme="majorBidi" w:hAnsiTheme="majorBidi" w:cstheme="majorBidi"/>
          <w:i/>
          <w:iCs/>
        </w:rPr>
        <w:t>Corporate Governance: An International Review</w:t>
      </w:r>
      <w:r w:rsidRPr="00927D93">
        <w:rPr>
          <w:rFonts w:asciiTheme="majorBidi" w:hAnsiTheme="majorBidi" w:cstheme="majorBidi"/>
        </w:rPr>
        <w:t>, 19(5), 437-449.</w:t>
      </w:r>
    </w:p>
    <w:p w:rsidR="00AF32C9" w:rsidRPr="00927D93" w:rsidRDefault="00AF32C9" w:rsidP="00AF32C9">
      <w:pPr>
        <w:ind w:left="284" w:hanging="284"/>
        <w:rPr>
          <w:rFonts w:asciiTheme="majorBidi" w:hAnsiTheme="majorBidi" w:cstheme="majorBidi"/>
        </w:rPr>
      </w:pPr>
      <w:r w:rsidRPr="00AF32C9">
        <w:rPr>
          <w:rFonts w:asciiTheme="majorBidi" w:hAnsiTheme="majorBidi" w:cstheme="majorBidi"/>
          <w:lang w:val="en-US"/>
        </w:rPr>
        <w:t xml:space="preserve">Zheng, Q., Luo, Y., &amp; Wang, S. L. (2019). Moral hazard or moral awareness? The role of corporate social responsibility in family firm succession. </w:t>
      </w:r>
      <w:r w:rsidRPr="00927D93">
        <w:rPr>
          <w:rFonts w:asciiTheme="majorBidi" w:hAnsiTheme="majorBidi" w:cstheme="majorBidi"/>
          <w:i/>
          <w:iCs/>
        </w:rPr>
        <w:t>Journal of Business Ethics</w:t>
      </w:r>
      <w:r w:rsidRPr="00927D93">
        <w:rPr>
          <w:rFonts w:asciiTheme="majorBidi" w:hAnsiTheme="majorBidi" w:cstheme="majorBidi"/>
        </w:rPr>
        <w:t>,</w:t>
      </w:r>
      <w:r>
        <w:rPr>
          <w:rFonts w:asciiTheme="majorBidi" w:hAnsiTheme="majorBidi" w:cstheme="majorBidi"/>
        </w:rPr>
        <w:t xml:space="preserve"> </w:t>
      </w:r>
      <w:r w:rsidRPr="00927D93">
        <w:rPr>
          <w:rFonts w:asciiTheme="majorBidi" w:hAnsiTheme="majorBidi" w:cstheme="majorBidi"/>
        </w:rPr>
        <w:t>159(2), 329-346.</w:t>
      </w:r>
    </w:p>
    <w:p w:rsidR="00DE24F8" w:rsidRPr="00DE24F8" w:rsidRDefault="00DE24F8" w:rsidP="00AF32C9">
      <w:pPr>
        <w:autoSpaceDE w:val="0"/>
        <w:autoSpaceDN w:val="0"/>
        <w:adjustRightInd w:val="0"/>
        <w:rPr>
          <w:rFonts w:asciiTheme="majorBidi" w:hAnsiTheme="majorBidi" w:cstheme="majorBidi"/>
          <w:b/>
          <w:bCs/>
          <w:sz w:val="24"/>
          <w:szCs w:val="24"/>
        </w:rPr>
      </w:pPr>
    </w:p>
    <w:sectPr w:rsidR="00DE24F8" w:rsidRPr="00DE24F8" w:rsidSect="00F06905">
      <w:headerReference w:type="default" r:id="rId11"/>
      <w:footerReference w:type="default" r:id="rId12"/>
      <w:pgSz w:w="11906" w:h="16838"/>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5A78" w:rsidRDefault="00405A78" w:rsidP="00E946C4">
      <w:pPr>
        <w:spacing w:line="240" w:lineRule="auto"/>
      </w:pPr>
      <w:r>
        <w:separator/>
      </w:r>
    </w:p>
  </w:endnote>
  <w:endnote w:type="continuationSeparator" w:id="1">
    <w:p w:rsidR="00405A78" w:rsidRDefault="00405A78" w:rsidP="00E946C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6FC" w:rsidRDefault="008176FC"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sz w:val="20"/>
      </w:rPr>
    </w:pPr>
    <w:r>
      <w:rPr>
        <w:rFonts w:ascii="Book Antiqua" w:hAnsi="Book Antiqua"/>
        <w:b/>
        <w:sz w:val="20"/>
      </w:rPr>
      <w:t>Revu</w:t>
    </w:r>
    <w:r w:rsidR="001667D1">
      <w:rPr>
        <w:rFonts w:ascii="Book Antiqua" w:hAnsi="Book Antiqua"/>
        <w:b/>
        <w:sz w:val="20"/>
      </w:rPr>
      <w:t>e</w:t>
    </w:r>
    <w:r>
      <w:rPr>
        <w:rFonts w:ascii="Book Antiqua" w:hAnsi="Book Antiqua"/>
        <w:b/>
        <w:sz w:val="20"/>
      </w:rPr>
      <w:t xml:space="preserve"> Internationale Multidisciplinaire</w:t>
    </w:r>
  </w:p>
  <w:p w:rsidR="00F06905" w:rsidRPr="006F12F8" w:rsidRDefault="008176FC"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bCs/>
        <w:sz w:val="20"/>
        <w:szCs w:val="20"/>
      </w:rPr>
    </w:pPr>
    <w:r>
      <w:rPr>
        <w:rFonts w:ascii="Book Antiqua" w:hAnsi="Book Antiqua"/>
        <w:b/>
        <w:sz w:val="20"/>
      </w:rPr>
      <w:t>D’Economie et de Gestion</w:t>
    </w:r>
    <w:r w:rsidR="00F06905" w:rsidRPr="006F12F8">
      <w:rPr>
        <w:rFonts w:ascii="Book Antiqua" w:hAnsi="Book Antiqua"/>
        <w:b/>
        <w:bCs/>
        <w:sz w:val="20"/>
        <w:szCs w:val="20"/>
      </w:rPr>
      <w:tab/>
    </w:r>
    <w:hyperlink r:id="rId1" w:history="1">
      <w:r w:rsidRPr="00B75323">
        <w:rPr>
          <w:rStyle w:val="Lienhypertexte"/>
          <w:rFonts w:ascii="Book Antiqua" w:hAnsi="Book Antiqua"/>
          <w:b/>
          <w:bCs/>
          <w:sz w:val="20"/>
          <w:szCs w:val="20"/>
        </w:rPr>
        <w:t>www.rimege.com</w:t>
      </w:r>
    </w:hyperlink>
    <w:r w:rsidR="00F06905" w:rsidRPr="006F12F8">
      <w:rPr>
        <w:rFonts w:ascii="Book Antiqua" w:hAnsi="Book Antiqua"/>
        <w:b/>
        <w:bCs/>
        <w:sz w:val="20"/>
        <w:szCs w:val="20"/>
      </w:rPr>
      <w:tab/>
    </w:r>
    <w:r w:rsidR="00F06905" w:rsidRPr="006F12F8">
      <w:rPr>
        <w:rFonts w:ascii="Book Antiqua" w:hAnsi="Book Antiqua"/>
        <w:b/>
        <w:bCs/>
        <w:sz w:val="20"/>
        <w:szCs w:val="20"/>
      </w:rPr>
      <w:tab/>
      <w:t xml:space="preserve">Page </w:t>
    </w:r>
    <w:r w:rsidR="008F6084" w:rsidRPr="00B0560A">
      <w:rPr>
        <w:rFonts w:ascii="Book Antiqua" w:hAnsi="Book Antiqua"/>
        <w:b/>
        <w:bCs/>
        <w:sz w:val="20"/>
        <w:szCs w:val="20"/>
      </w:rPr>
      <w:fldChar w:fldCharType="begin"/>
    </w:r>
    <w:r w:rsidR="00F06905" w:rsidRPr="006F12F8">
      <w:rPr>
        <w:rFonts w:ascii="Book Antiqua" w:hAnsi="Book Antiqua"/>
        <w:b/>
        <w:bCs/>
        <w:sz w:val="20"/>
        <w:szCs w:val="20"/>
      </w:rPr>
      <w:instrText xml:space="preserve"> PAGE   \* MERGEFORMAT </w:instrText>
    </w:r>
    <w:r w:rsidR="008F6084" w:rsidRPr="00B0560A">
      <w:rPr>
        <w:rFonts w:ascii="Book Antiqua" w:hAnsi="Book Antiqua"/>
        <w:b/>
        <w:bCs/>
        <w:sz w:val="20"/>
        <w:szCs w:val="20"/>
      </w:rPr>
      <w:fldChar w:fldCharType="separate"/>
    </w:r>
    <w:r w:rsidR="00643AB2" w:rsidRPr="00643AB2">
      <w:rPr>
        <w:rFonts w:ascii="Book Antiqua" w:hAnsi="Book Antiqua"/>
        <w:b/>
        <w:noProof/>
        <w:sz w:val="20"/>
        <w:szCs w:val="20"/>
      </w:rPr>
      <w:t>2</w:t>
    </w:r>
    <w:r w:rsidR="008F6084" w:rsidRPr="00B0560A">
      <w:rPr>
        <w:rFonts w:ascii="Book Antiqua" w:hAnsi="Book Antiqua"/>
        <w:b/>
        <w:bCs/>
        <w:sz w:val="20"/>
        <w:szCs w:val="20"/>
      </w:rPr>
      <w:fldChar w:fldCharType="end"/>
    </w:r>
  </w:p>
  <w:p w:rsidR="00F06905" w:rsidRPr="006F12F8" w:rsidRDefault="00F06905" w:rsidP="00F0690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5A78" w:rsidRDefault="00405A78" w:rsidP="00E946C4">
      <w:pPr>
        <w:spacing w:line="240" w:lineRule="auto"/>
      </w:pPr>
      <w:r>
        <w:separator/>
      </w:r>
    </w:p>
  </w:footnote>
  <w:footnote w:type="continuationSeparator" w:id="1">
    <w:p w:rsidR="00405A78" w:rsidRDefault="00405A78" w:rsidP="00E946C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6FC" w:rsidRDefault="004A525B" w:rsidP="008176FC">
    <w:pPr>
      <w:tabs>
        <w:tab w:val="right" w:pos="9072"/>
      </w:tabs>
      <w:spacing w:line="276" w:lineRule="auto"/>
      <w:rPr>
        <w:rFonts w:ascii="Book Antiqua" w:hAnsi="Book Antiqua"/>
        <w:b/>
        <w:sz w:val="20"/>
      </w:rPr>
    </w:pPr>
    <w:r w:rsidRPr="008176FC">
      <w:rPr>
        <w:rFonts w:ascii="Book Antiqua" w:hAnsi="Book Antiqua"/>
        <w:b/>
        <w:noProof/>
        <w:sz w:val="20"/>
      </w:rPr>
      <w:drawing>
        <wp:anchor distT="0" distB="0" distL="114300" distR="114300" simplePos="0" relativeHeight="251666944" behindDoc="0" locked="0" layoutInCell="1" allowOverlap="1">
          <wp:simplePos x="0" y="0"/>
          <wp:positionH relativeFrom="column">
            <wp:posOffset>4130675</wp:posOffset>
          </wp:positionH>
          <wp:positionV relativeFrom="paragraph">
            <wp:posOffset>-183515</wp:posOffset>
          </wp:positionV>
          <wp:extent cx="2260849" cy="62801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0849" cy="628015"/>
                  </a:xfrm>
                  <a:prstGeom prst="rect">
                    <a:avLst/>
                  </a:prstGeom>
                  <a:noFill/>
                  <a:ln>
                    <a:noFill/>
                  </a:ln>
                </pic:spPr>
              </pic:pic>
            </a:graphicData>
          </a:graphic>
        </wp:anchor>
      </w:drawing>
    </w:r>
    <w:r w:rsidRPr="008176FC">
      <w:rPr>
        <w:rFonts w:ascii="Book Antiqua" w:hAnsi="Book Antiqua"/>
        <w:b/>
        <w:sz w:val="20"/>
      </w:rPr>
      <w:t> </w:t>
    </w:r>
    <w:r w:rsidR="008176FC">
      <w:rPr>
        <w:rFonts w:ascii="Book Antiqua" w:hAnsi="Book Antiqua"/>
        <w:b/>
        <w:sz w:val="20"/>
      </w:rPr>
      <w:t>Revu</w:t>
    </w:r>
    <w:r w:rsidR="00864D80">
      <w:rPr>
        <w:rFonts w:ascii="Book Antiqua" w:hAnsi="Book Antiqua"/>
        <w:b/>
        <w:sz w:val="20"/>
      </w:rPr>
      <w:t>e</w:t>
    </w:r>
    <w:r w:rsidR="008176FC">
      <w:rPr>
        <w:rFonts w:ascii="Book Antiqua" w:hAnsi="Book Antiqua"/>
        <w:b/>
        <w:sz w:val="20"/>
      </w:rPr>
      <w:t xml:space="preserve"> Internationale Multidisciplinaire</w:t>
    </w:r>
  </w:p>
  <w:p w:rsidR="008176FC" w:rsidRDefault="008176FC" w:rsidP="008176FC">
    <w:pPr>
      <w:tabs>
        <w:tab w:val="right" w:pos="9072"/>
      </w:tabs>
      <w:spacing w:line="276" w:lineRule="auto"/>
      <w:rPr>
        <w:rFonts w:ascii="Book Antiqua" w:hAnsi="Book Antiqua"/>
        <w:b/>
        <w:sz w:val="20"/>
      </w:rPr>
    </w:pPr>
    <w:r>
      <w:rPr>
        <w:rFonts w:ascii="Book Antiqua" w:hAnsi="Book Antiqua"/>
        <w:b/>
        <w:sz w:val="20"/>
      </w:rPr>
      <w:t>D’Economie et de Gestion</w:t>
    </w:r>
  </w:p>
  <w:p w:rsidR="00F06905" w:rsidRPr="00811527" w:rsidRDefault="00F06905" w:rsidP="00F06905">
    <w:pPr>
      <w:tabs>
        <w:tab w:val="left" w:pos="5580"/>
        <w:tab w:val="left" w:pos="6075"/>
      </w:tabs>
      <w:spacing w:line="276" w:lineRule="auto"/>
      <w:jc w:val="left"/>
      <w:rPr>
        <w:rFonts w:ascii="Book Antiqua" w:hAnsi="Book Antiqua"/>
        <w:sz w:val="20"/>
      </w:rPr>
    </w:pPr>
    <w:r>
      <w:rPr>
        <w:rFonts w:ascii="Book Antiqua" w:hAnsi="Book Antiqua"/>
        <w:sz w:val="20"/>
      </w:rPr>
      <w:t>ISSN :</w:t>
    </w:r>
    <w:r w:rsidR="00AC56EF" w:rsidRPr="00AC56EF">
      <w:t xml:space="preserve"> </w:t>
    </w:r>
    <w:r w:rsidR="00AC56EF" w:rsidRPr="00E42047">
      <w:t>2724-7260</w:t>
    </w:r>
  </w:p>
  <w:p w:rsidR="00F06905" w:rsidRPr="002D6CAA" w:rsidRDefault="00F06905" w:rsidP="00AC56EF">
    <w:pPr>
      <w:tabs>
        <w:tab w:val="right" w:pos="9072"/>
      </w:tabs>
      <w:spacing w:line="276" w:lineRule="auto"/>
    </w:pPr>
    <w:r>
      <w:rPr>
        <w:rFonts w:ascii="Book Antiqua" w:hAnsi="Book Antiqua"/>
        <w:sz w:val="20"/>
      </w:rPr>
      <w:t xml:space="preserve">Volume </w:t>
    </w:r>
    <w:r w:rsidR="00AC56EF">
      <w:rPr>
        <w:rFonts w:ascii="Book Antiqua" w:hAnsi="Book Antiqua"/>
        <w:sz w:val="20"/>
      </w:rPr>
      <w:t>1</w:t>
    </w:r>
    <w:r>
      <w:rPr>
        <w:rFonts w:ascii="Book Antiqua" w:hAnsi="Book Antiqua"/>
        <w:sz w:val="20"/>
      </w:rPr>
      <w:t xml:space="preserve">: Numéro </w:t>
    </w:r>
    <w:r w:rsidR="00AC56EF">
      <w:rPr>
        <w:rFonts w:ascii="Book Antiqua" w:hAnsi="Book Antiqua"/>
        <w:sz w:val="20"/>
      </w:rPr>
      <w:t>1</w:t>
    </w:r>
    <w:r w:rsidRPr="00811527">
      <w:tab/>
    </w:r>
  </w:p>
  <w:p w:rsidR="00F06905" w:rsidRPr="009A2F58" w:rsidRDefault="00F06905" w:rsidP="00F06905">
    <w:pPr>
      <w:pStyle w:val="En-tte"/>
      <w:spacing w:line="276" w:lineRule="auto"/>
      <w:ind w:left="-99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E5374"/>
    <w:multiLevelType w:val="multilevel"/>
    <w:tmpl w:val="7D7A575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66E395A"/>
    <w:multiLevelType w:val="hybridMultilevel"/>
    <w:tmpl w:val="4C3E7E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D487A7A"/>
    <w:multiLevelType w:val="multilevel"/>
    <w:tmpl w:val="FB6C2A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300B4DE2"/>
    <w:multiLevelType w:val="hybridMultilevel"/>
    <w:tmpl w:val="4DFAF7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2C6078E"/>
    <w:multiLevelType w:val="multilevel"/>
    <w:tmpl w:val="F38CC7BA"/>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4F496669"/>
    <w:multiLevelType w:val="hybridMultilevel"/>
    <w:tmpl w:val="FA50814C"/>
    <w:lvl w:ilvl="0" w:tplc="6282A4B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2611BAD"/>
    <w:multiLevelType w:val="hybridMultilevel"/>
    <w:tmpl w:val="661EFA40"/>
    <w:lvl w:ilvl="0" w:tplc="040C0009">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7">
    <w:nsid w:val="52A71E05"/>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nsid w:val="546919CC"/>
    <w:multiLevelType w:val="hybridMultilevel"/>
    <w:tmpl w:val="E532413C"/>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C8D4DA2"/>
    <w:multiLevelType w:val="hybridMultilevel"/>
    <w:tmpl w:val="AC8E60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97C7F0A"/>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nsid w:val="70A837FB"/>
    <w:multiLevelType w:val="hybridMultilevel"/>
    <w:tmpl w:val="84B223CA"/>
    <w:lvl w:ilvl="0" w:tplc="1E3E91E4">
      <w:start w:val="5"/>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63F2F3B"/>
    <w:multiLevelType w:val="multilevel"/>
    <w:tmpl w:val="2856F95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79004609"/>
    <w:multiLevelType w:val="hybridMultilevel"/>
    <w:tmpl w:val="482AF7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8"/>
  </w:num>
  <w:num w:numId="3">
    <w:abstractNumId w:val="5"/>
  </w:num>
  <w:num w:numId="4">
    <w:abstractNumId w:val="9"/>
  </w:num>
  <w:num w:numId="5">
    <w:abstractNumId w:val="3"/>
  </w:num>
  <w:num w:numId="6">
    <w:abstractNumId w:val="2"/>
  </w:num>
  <w:num w:numId="7">
    <w:abstractNumId w:val="1"/>
  </w:num>
  <w:num w:numId="8">
    <w:abstractNumId w:val="12"/>
  </w:num>
  <w:num w:numId="9">
    <w:abstractNumId w:val="4"/>
  </w:num>
  <w:num w:numId="10">
    <w:abstractNumId w:val="0"/>
  </w:num>
  <w:num w:numId="11">
    <w:abstractNumId w:val="11"/>
  </w:num>
  <w:num w:numId="12">
    <w:abstractNumId w:val="10"/>
  </w:num>
  <w:num w:numId="13">
    <w:abstractNumId w:val="7"/>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4338"/>
  </w:hdrShapeDefaults>
  <w:footnotePr>
    <w:footnote w:id="0"/>
    <w:footnote w:id="1"/>
  </w:footnotePr>
  <w:endnotePr>
    <w:endnote w:id="0"/>
    <w:endnote w:id="1"/>
  </w:endnotePr>
  <w:compat>
    <w:useFELayout/>
  </w:compat>
  <w:rsids>
    <w:rsidRoot w:val="00547346"/>
    <w:rsid w:val="00000443"/>
    <w:rsid w:val="00001428"/>
    <w:rsid w:val="00001CB8"/>
    <w:rsid w:val="000032D8"/>
    <w:rsid w:val="00003578"/>
    <w:rsid w:val="000057A3"/>
    <w:rsid w:val="00006432"/>
    <w:rsid w:val="00007532"/>
    <w:rsid w:val="00021CB8"/>
    <w:rsid w:val="0002356E"/>
    <w:rsid w:val="000241E9"/>
    <w:rsid w:val="00026CC9"/>
    <w:rsid w:val="000278CF"/>
    <w:rsid w:val="00030B1C"/>
    <w:rsid w:val="00032A79"/>
    <w:rsid w:val="00035EE7"/>
    <w:rsid w:val="00035F4F"/>
    <w:rsid w:val="00043162"/>
    <w:rsid w:val="000435A1"/>
    <w:rsid w:val="0004764A"/>
    <w:rsid w:val="00050F76"/>
    <w:rsid w:val="00055D1D"/>
    <w:rsid w:val="000576D9"/>
    <w:rsid w:val="0006143C"/>
    <w:rsid w:val="0006551C"/>
    <w:rsid w:val="00065BD1"/>
    <w:rsid w:val="00070161"/>
    <w:rsid w:val="00071843"/>
    <w:rsid w:val="0008060C"/>
    <w:rsid w:val="00083353"/>
    <w:rsid w:val="0009033C"/>
    <w:rsid w:val="00090788"/>
    <w:rsid w:val="0009684D"/>
    <w:rsid w:val="000A3BC3"/>
    <w:rsid w:val="000A3D29"/>
    <w:rsid w:val="000A711C"/>
    <w:rsid w:val="000B005A"/>
    <w:rsid w:val="000B4115"/>
    <w:rsid w:val="000B54C3"/>
    <w:rsid w:val="000B6C3C"/>
    <w:rsid w:val="000C1834"/>
    <w:rsid w:val="000C419F"/>
    <w:rsid w:val="000C421B"/>
    <w:rsid w:val="000C5333"/>
    <w:rsid w:val="000C6512"/>
    <w:rsid w:val="000C7E22"/>
    <w:rsid w:val="000D0B89"/>
    <w:rsid w:val="000D106A"/>
    <w:rsid w:val="000D115F"/>
    <w:rsid w:val="000D1B25"/>
    <w:rsid w:val="000D379F"/>
    <w:rsid w:val="000D4958"/>
    <w:rsid w:val="000D5A7A"/>
    <w:rsid w:val="000D7162"/>
    <w:rsid w:val="000E0710"/>
    <w:rsid w:val="000E0AF2"/>
    <w:rsid w:val="000E1892"/>
    <w:rsid w:val="000F3A66"/>
    <w:rsid w:val="000F41AF"/>
    <w:rsid w:val="001010A4"/>
    <w:rsid w:val="001047AC"/>
    <w:rsid w:val="00106590"/>
    <w:rsid w:val="001102C4"/>
    <w:rsid w:val="00111EC1"/>
    <w:rsid w:val="001213B3"/>
    <w:rsid w:val="001236B6"/>
    <w:rsid w:val="001244B3"/>
    <w:rsid w:val="0013171D"/>
    <w:rsid w:val="001339D9"/>
    <w:rsid w:val="001352AE"/>
    <w:rsid w:val="00142390"/>
    <w:rsid w:val="0014296C"/>
    <w:rsid w:val="00143628"/>
    <w:rsid w:val="0015112E"/>
    <w:rsid w:val="00154062"/>
    <w:rsid w:val="001667D1"/>
    <w:rsid w:val="001674A6"/>
    <w:rsid w:val="00172C98"/>
    <w:rsid w:val="00175DC2"/>
    <w:rsid w:val="001812E1"/>
    <w:rsid w:val="00181BFE"/>
    <w:rsid w:val="00182C3C"/>
    <w:rsid w:val="0018646F"/>
    <w:rsid w:val="0019398E"/>
    <w:rsid w:val="0019529F"/>
    <w:rsid w:val="00197D1F"/>
    <w:rsid w:val="001A1ED1"/>
    <w:rsid w:val="001A3EDF"/>
    <w:rsid w:val="001A4468"/>
    <w:rsid w:val="001A5371"/>
    <w:rsid w:val="001B343A"/>
    <w:rsid w:val="001B5061"/>
    <w:rsid w:val="001C1B41"/>
    <w:rsid w:val="001C523E"/>
    <w:rsid w:val="001C7171"/>
    <w:rsid w:val="001D12ED"/>
    <w:rsid w:val="001D53E2"/>
    <w:rsid w:val="001D6B3F"/>
    <w:rsid w:val="001E1338"/>
    <w:rsid w:val="001E2004"/>
    <w:rsid w:val="001E2BB2"/>
    <w:rsid w:val="001F19F3"/>
    <w:rsid w:val="002079BD"/>
    <w:rsid w:val="0021024C"/>
    <w:rsid w:val="00213B40"/>
    <w:rsid w:val="00213BEE"/>
    <w:rsid w:val="002140DD"/>
    <w:rsid w:val="002213F2"/>
    <w:rsid w:val="00221F5B"/>
    <w:rsid w:val="00230C2C"/>
    <w:rsid w:val="00236204"/>
    <w:rsid w:val="002423DB"/>
    <w:rsid w:val="00242DC0"/>
    <w:rsid w:val="002462E3"/>
    <w:rsid w:val="00254AF3"/>
    <w:rsid w:val="00256351"/>
    <w:rsid w:val="00264DA8"/>
    <w:rsid w:val="00265415"/>
    <w:rsid w:val="002674C0"/>
    <w:rsid w:val="00272A0B"/>
    <w:rsid w:val="00275820"/>
    <w:rsid w:val="00275D53"/>
    <w:rsid w:val="00276F4E"/>
    <w:rsid w:val="002824F6"/>
    <w:rsid w:val="00282DC3"/>
    <w:rsid w:val="00283B09"/>
    <w:rsid w:val="00285D30"/>
    <w:rsid w:val="002868B8"/>
    <w:rsid w:val="00287861"/>
    <w:rsid w:val="00291A78"/>
    <w:rsid w:val="002925C4"/>
    <w:rsid w:val="002960C3"/>
    <w:rsid w:val="002A2104"/>
    <w:rsid w:val="002A2CED"/>
    <w:rsid w:val="002A2D69"/>
    <w:rsid w:val="002B0090"/>
    <w:rsid w:val="002B20A0"/>
    <w:rsid w:val="002B268F"/>
    <w:rsid w:val="002C2534"/>
    <w:rsid w:val="002D0E67"/>
    <w:rsid w:val="002D14AA"/>
    <w:rsid w:val="002D312A"/>
    <w:rsid w:val="002F0C1F"/>
    <w:rsid w:val="00300048"/>
    <w:rsid w:val="00300C20"/>
    <w:rsid w:val="00300D2F"/>
    <w:rsid w:val="00301D91"/>
    <w:rsid w:val="00304543"/>
    <w:rsid w:val="00307888"/>
    <w:rsid w:val="003106D4"/>
    <w:rsid w:val="00311048"/>
    <w:rsid w:val="00313D33"/>
    <w:rsid w:val="00316A58"/>
    <w:rsid w:val="003237AA"/>
    <w:rsid w:val="00331574"/>
    <w:rsid w:val="00334148"/>
    <w:rsid w:val="003448C8"/>
    <w:rsid w:val="00346797"/>
    <w:rsid w:val="00365C87"/>
    <w:rsid w:val="003718DA"/>
    <w:rsid w:val="0037319A"/>
    <w:rsid w:val="003816D0"/>
    <w:rsid w:val="00383104"/>
    <w:rsid w:val="0038344C"/>
    <w:rsid w:val="003836A8"/>
    <w:rsid w:val="00387B54"/>
    <w:rsid w:val="003907EA"/>
    <w:rsid w:val="00393898"/>
    <w:rsid w:val="003A46EC"/>
    <w:rsid w:val="003A4E27"/>
    <w:rsid w:val="003A61E6"/>
    <w:rsid w:val="003B00D6"/>
    <w:rsid w:val="003B0274"/>
    <w:rsid w:val="003B07BF"/>
    <w:rsid w:val="003B23C3"/>
    <w:rsid w:val="003B3701"/>
    <w:rsid w:val="003B4882"/>
    <w:rsid w:val="003B7FF6"/>
    <w:rsid w:val="003C068D"/>
    <w:rsid w:val="003C76BF"/>
    <w:rsid w:val="003D1E04"/>
    <w:rsid w:val="003E0A04"/>
    <w:rsid w:val="003E2197"/>
    <w:rsid w:val="003F12B2"/>
    <w:rsid w:val="003F306E"/>
    <w:rsid w:val="003F59FE"/>
    <w:rsid w:val="003F5B6D"/>
    <w:rsid w:val="003F6930"/>
    <w:rsid w:val="00403D67"/>
    <w:rsid w:val="00405A78"/>
    <w:rsid w:val="004072C8"/>
    <w:rsid w:val="00413FC1"/>
    <w:rsid w:val="00415C1D"/>
    <w:rsid w:val="0042299C"/>
    <w:rsid w:val="004239DB"/>
    <w:rsid w:val="00423D08"/>
    <w:rsid w:val="004246FF"/>
    <w:rsid w:val="00424E7A"/>
    <w:rsid w:val="0044488A"/>
    <w:rsid w:val="00444C7C"/>
    <w:rsid w:val="004556D6"/>
    <w:rsid w:val="00455C17"/>
    <w:rsid w:val="00460855"/>
    <w:rsid w:val="00463F94"/>
    <w:rsid w:val="00464DA9"/>
    <w:rsid w:val="00471D32"/>
    <w:rsid w:val="00473152"/>
    <w:rsid w:val="004819C0"/>
    <w:rsid w:val="00491140"/>
    <w:rsid w:val="00495DC0"/>
    <w:rsid w:val="004A36AD"/>
    <w:rsid w:val="004A4939"/>
    <w:rsid w:val="004A525B"/>
    <w:rsid w:val="004B0096"/>
    <w:rsid w:val="004B10BA"/>
    <w:rsid w:val="004B1936"/>
    <w:rsid w:val="004B1981"/>
    <w:rsid w:val="004B30BB"/>
    <w:rsid w:val="004C0DAB"/>
    <w:rsid w:val="004C5149"/>
    <w:rsid w:val="004D14E1"/>
    <w:rsid w:val="004D43F7"/>
    <w:rsid w:val="004E485B"/>
    <w:rsid w:val="004F2398"/>
    <w:rsid w:val="004F4F66"/>
    <w:rsid w:val="00500F16"/>
    <w:rsid w:val="00503855"/>
    <w:rsid w:val="00511706"/>
    <w:rsid w:val="00512BD1"/>
    <w:rsid w:val="00513035"/>
    <w:rsid w:val="00525BE6"/>
    <w:rsid w:val="00533CF1"/>
    <w:rsid w:val="005349FE"/>
    <w:rsid w:val="0053502B"/>
    <w:rsid w:val="00536964"/>
    <w:rsid w:val="005378E4"/>
    <w:rsid w:val="00542E73"/>
    <w:rsid w:val="00543261"/>
    <w:rsid w:val="005432C4"/>
    <w:rsid w:val="00545547"/>
    <w:rsid w:val="005455FF"/>
    <w:rsid w:val="00545738"/>
    <w:rsid w:val="00547346"/>
    <w:rsid w:val="00551643"/>
    <w:rsid w:val="005539E4"/>
    <w:rsid w:val="00554417"/>
    <w:rsid w:val="00555889"/>
    <w:rsid w:val="0055752A"/>
    <w:rsid w:val="00564DAA"/>
    <w:rsid w:val="00567285"/>
    <w:rsid w:val="00574B41"/>
    <w:rsid w:val="005763A5"/>
    <w:rsid w:val="005768E2"/>
    <w:rsid w:val="005770E4"/>
    <w:rsid w:val="005805AB"/>
    <w:rsid w:val="00581744"/>
    <w:rsid w:val="00581F73"/>
    <w:rsid w:val="00585A28"/>
    <w:rsid w:val="00586B0D"/>
    <w:rsid w:val="005906E9"/>
    <w:rsid w:val="005927B6"/>
    <w:rsid w:val="005964C0"/>
    <w:rsid w:val="005A55D6"/>
    <w:rsid w:val="005B08DF"/>
    <w:rsid w:val="005B1219"/>
    <w:rsid w:val="005B135B"/>
    <w:rsid w:val="005B2D6D"/>
    <w:rsid w:val="005B46F1"/>
    <w:rsid w:val="005C00A4"/>
    <w:rsid w:val="005C2F31"/>
    <w:rsid w:val="005C3C11"/>
    <w:rsid w:val="005C7150"/>
    <w:rsid w:val="005C7807"/>
    <w:rsid w:val="005D0DF7"/>
    <w:rsid w:val="005D2650"/>
    <w:rsid w:val="005D5A66"/>
    <w:rsid w:val="005D6E19"/>
    <w:rsid w:val="005E1A28"/>
    <w:rsid w:val="005F2CB8"/>
    <w:rsid w:val="00607F40"/>
    <w:rsid w:val="00612FFB"/>
    <w:rsid w:val="00622CF7"/>
    <w:rsid w:val="0062337B"/>
    <w:rsid w:val="00624064"/>
    <w:rsid w:val="00631F1A"/>
    <w:rsid w:val="006341F9"/>
    <w:rsid w:val="00634B4B"/>
    <w:rsid w:val="0063709B"/>
    <w:rsid w:val="00640584"/>
    <w:rsid w:val="00643AB2"/>
    <w:rsid w:val="00643AF8"/>
    <w:rsid w:val="00654114"/>
    <w:rsid w:val="00654CFC"/>
    <w:rsid w:val="00654D38"/>
    <w:rsid w:val="006574D8"/>
    <w:rsid w:val="00662CD1"/>
    <w:rsid w:val="00670731"/>
    <w:rsid w:val="00671A40"/>
    <w:rsid w:val="006775F3"/>
    <w:rsid w:val="0067783E"/>
    <w:rsid w:val="00691D0D"/>
    <w:rsid w:val="00691DE0"/>
    <w:rsid w:val="006929C3"/>
    <w:rsid w:val="00694986"/>
    <w:rsid w:val="0069596F"/>
    <w:rsid w:val="006A1A39"/>
    <w:rsid w:val="006A5C64"/>
    <w:rsid w:val="006B36E9"/>
    <w:rsid w:val="006B49CB"/>
    <w:rsid w:val="006C0AC4"/>
    <w:rsid w:val="006C4B30"/>
    <w:rsid w:val="006D091A"/>
    <w:rsid w:val="006D4037"/>
    <w:rsid w:val="006D4677"/>
    <w:rsid w:val="006D7D4E"/>
    <w:rsid w:val="006E403D"/>
    <w:rsid w:val="006E4A6A"/>
    <w:rsid w:val="006E516E"/>
    <w:rsid w:val="006E54E6"/>
    <w:rsid w:val="006E6168"/>
    <w:rsid w:val="006F06BC"/>
    <w:rsid w:val="006F12F8"/>
    <w:rsid w:val="006F65D2"/>
    <w:rsid w:val="0070240C"/>
    <w:rsid w:val="00712D56"/>
    <w:rsid w:val="00716C7D"/>
    <w:rsid w:val="0072283D"/>
    <w:rsid w:val="007238C3"/>
    <w:rsid w:val="0072491B"/>
    <w:rsid w:val="00732553"/>
    <w:rsid w:val="00733958"/>
    <w:rsid w:val="00734333"/>
    <w:rsid w:val="0073553E"/>
    <w:rsid w:val="00735697"/>
    <w:rsid w:val="00736F52"/>
    <w:rsid w:val="007374A7"/>
    <w:rsid w:val="00740BC8"/>
    <w:rsid w:val="0074137A"/>
    <w:rsid w:val="00743485"/>
    <w:rsid w:val="0074392D"/>
    <w:rsid w:val="00752188"/>
    <w:rsid w:val="00753E30"/>
    <w:rsid w:val="0075792B"/>
    <w:rsid w:val="0076139A"/>
    <w:rsid w:val="00761937"/>
    <w:rsid w:val="007703B3"/>
    <w:rsid w:val="00772F29"/>
    <w:rsid w:val="00776C6D"/>
    <w:rsid w:val="00781511"/>
    <w:rsid w:val="00784D48"/>
    <w:rsid w:val="00786144"/>
    <w:rsid w:val="0078627C"/>
    <w:rsid w:val="00787B2E"/>
    <w:rsid w:val="00792510"/>
    <w:rsid w:val="00793196"/>
    <w:rsid w:val="007938E3"/>
    <w:rsid w:val="0079538C"/>
    <w:rsid w:val="007958C3"/>
    <w:rsid w:val="00797BD5"/>
    <w:rsid w:val="007A2ABC"/>
    <w:rsid w:val="007A6842"/>
    <w:rsid w:val="007B0D6E"/>
    <w:rsid w:val="007B2BEA"/>
    <w:rsid w:val="007B2EC8"/>
    <w:rsid w:val="007B5094"/>
    <w:rsid w:val="007B69E8"/>
    <w:rsid w:val="007C00FD"/>
    <w:rsid w:val="007C29C2"/>
    <w:rsid w:val="007C2A3E"/>
    <w:rsid w:val="007C5BF9"/>
    <w:rsid w:val="007D3629"/>
    <w:rsid w:val="007D59DC"/>
    <w:rsid w:val="007D5FCC"/>
    <w:rsid w:val="007E07A1"/>
    <w:rsid w:val="007E2FB7"/>
    <w:rsid w:val="007E494E"/>
    <w:rsid w:val="007E58E0"/>
    <w:rsid w:val="007E5EE8"/>
    <w:rsid w:val="007E70E1"/>
    <w:rsid w:val="007F2A46"/>
    <w:rsid w:val="007F32B0"/>
    <w:rsid w:val="007F33BC"/>
    <w:rsid w:val="007F5832"/>
    <w:rsid w:val="0080265F"/>
    <w:rsid w:val="00802DDB"/>
    <w:rsid w:val="00815D12"/>
    <w:rsid w:val="0081752B"/>
    <w:rsid w:val="008176FC"/>
    <w:rsid w:val="00817EF5"/>
    <w:rsid w:val="008202F6"/>
    <w:rsid w:val="008248BA"/>
    <w:rsid w:val="00824904"/>
    <w:rsid w:val="00826D32"/>
    <w:rsid w:val="00833272"/>
    <w:rsid w:val="008334BA"/>
    <w:rsid w:val="00833781"/>
    <w:rsid w:val="0084289E"/>
    <w:rsid w:val="00844F1B"/>
    <w:rsid w:val="00852B57"/>
    <w:rsid w:val="0086204F"/>
    <w:rsid w:val="00864D80"/>
    <w:rsid w:val="00866BFE"/>
    <w:rsid w:val="008718AD"/>
    <w:rsid w:val="0087232B"/>
    <w:rsid w:val="00875678"/>
    <w:rsid w:val="00877ED9"/>
    <w:rsid w:val="008829CA"/>
    <w:rsid w:val="00884004"/>
    <w:rsid w:val="008904F7"/>
    <w:rsid w:val="00891F47"/>
    <w:rsid w:val="008938A4"/>
    <w:rsid w:val="00895206"/>
    <w:rsid w:val="00895C30"/>
    <w:rsid w:val="0089624F"/>
    <w:rsid w:val="008968E1"/>
    <w:rsid w:val="008A0120"/>
    <w:rsid w:val="008A0A68"/>
    <w:rsid w:val="008A1705"/>
    <w:rsid w:val="008A690C"/>
    <w:rsid w:val="008A7CFC"/>
    <w:rsid w:val="008B1609"/>
    <w:rsid w:val="008B30A8"/>
    <w:rsid w:val="008B74CD"/>
    <w:rsid w:val="008D1078"/>
    <w:rsid w:val="008D49B5"/>
    <w:rsid w:val="008D4EE6"/>
    <w:rsid w:val="008D6BFE"/>
    <w:rsid w:val="008D7C7F"/>
    <w:rsid w:val="008E4C0C"/>
    <w:rsid w:val="008E521E"/>
    <w:rsid w:val="008E7AE6"/>
    <w:rsid w:val="008F1D8F"/>
    <w:rsid w:val="008F3457"/>
    <w:rsid w:val="008F41A0"/>
    <w:rsid w:val="008F534F"/>
    <w:rsid w:val="008F6084"/>
    <w:rsid w:val="00902ACF"/>
    <w:rsid w:val="00903CCE"/>
    <w:rsid w:val="009062CB"/>
    <w:rsid w:val="00907F28"/>
    <w:rsid w:val="00913796"/>
    <w:rsid w:val="009142D0"/>
    <w:rsid w:val="009147D0"/>
    <w:rsid w:val="00916EC4"/>
    <w:rsid w:val="009224E5"/>
    <w:rsid w:val="009227DA"/>
    <w:rsid w:val="009240C1"/>
    <w:rsid w:val="009243C9"/>
    <w:rsid w:val="009260B7"/>
    <w:rsid w:val="0093056E"/>
    <w:rsid w:val="009334F6"/>
    <w:rsid w:val="00933B2C"/>
    <w:rsid w:val="00934326"/>
    <w:rsid w:val="009347DE"/>
    <w:rsid w:val="00940F19"/>
    <w:rsid w:val="009410FB"/>
    <w:rsid w:val="0095005F"/>
    <w:rsid w:val="009522CC"/>
    <w:rsid w:val="0095286A"/>
    <w:rsid w:val="0095614E"/>
    <w:rsid w:val="00961761"/>
    <w:rsid w:val="00962A02"/>
    <w:rsid w:val="00963129"/>
    <w:rsid w:val="009650F0"/>
    <w:rsid w:val="0096565F"/>
    <w:rsid w:val="009664DD"/>
    <w:rsid w:val="00971673"/>
    <w:rsid w:val="009757B3"/>
    <w:rsid w:val="009765B1"/>
    <w:rsid w:val="009805E2"/>
    <w:rsid w:val="00985D5A"/>
    <w:rsid w:val="00986817"/>
    <w:rsid w:val="0098760C"/>
    <w:rsid w:val="0099409E"/>
    <w:rsid w:val="009977E8"/>
    <w:rsid w:val="009A00B3"/>
    <w:rsid w:val="009A1693"/>
    <w:rsid w:val="009A2F58"/>
    <w:rsid w:val="009A41F0"/>
    <w:rsid w:val="009A6CA3"/>
    <w:rsid w:val="009B42BC"/>
    <w:rsid w:val="009B6C5E"/>
    <w:rsid w:val="009C04BD"/>
    <w:rsid w:val="009C0839"/>
    <w:rsid w:val="009C0EFF"/>
    <w:rsid w:val="009C2E2B"/>
    <w:rsid w:val="009C3431"/>
    <w:rsid w:val="009D08E8"/>
    <w:rsid w:val="009D787F"/>
    <w:rsid w:val="009E0A05"/>
    <w:rsid w:val="009F05D6"/>
    <w:rsid w:val="009F1705"/>
    <w:rsid w:val="009F25B8"/>
    <w:rsid w:val="00A00371"/>
    <w:rsid w:val="00A05BA9"/>
    <w:rsid w:val="00A05FDE"/>
    <w:rsid w:val="00A0797E"/>
    <w:rsid w:val="00A10199"/>
    <w:rsid w:val="00A12266"/>
    <w:rsid w:val="00A12FB5"/>
    <w:rsid w:val="00A13C6A"/>
    <w:rsid w:val="00A1560E"/>
    <w:rsid w:val="00A15D92"/>
    <w:rsid w:val="00A15FEF"/>
    <w:rsid w:val="00A20048"/>
    <w:rsid w:val="00A20799"/>
    <w:rsid w:val="00A212ED"/>
    <w:rsid w:val="00A278D7"/>
    <w:rsid w:val="00A311AA"/>
    <w:rsid w:val="00A330B3"/>
    <w:rsid w:val="00A36CB9"/>
    <w:rsid w:val="00A36D30"/>
    <w:rsid w:val="00A41548"/>
    <w:rsid w:val="00A41C9A"/>
    <w:rsid w:val="00A514E2"/>
    <w:rsid w:val="00A51871"/>
    <w:rsid w:val="00A5210B"/>
    <w:rsid w:val="00A543ED"/>
    <w:rsid w:val="00A5481D"/>
    <w:rsid w:val="00A5690B"/>
    <w:rsid w:val="00A57401"/>
    <w:rsid w:val="00A574BC"/>
    <w:rsid w:val="00A71C88"/>
    <w:rsid w:val="00A72047"/>
    <w:rsid w:val="00A73E68"/>
    <w:rsid w:val="00A75F4D"/>
    <w:rsid w:val="00A76180"/>
    <w:rsid w:val="00A77A0E"/>
    <w:rsid w:val="00A9307A"/>
    <w:rsid w:val="00A96425"/>
    <w:rsid w:val="00AA4C3B"/>
    <w:rsid w:val="00AA7ABF"/>
    <w:rsid w:val="00AB117F"/>
    <w:rsid w:val="00AB3587"/>
    <w:rsid w:val="00AB645B"/>
    <w:rsid w:val="00AC05D9"/>
    <w:rsid w:val="00AC36E5"/>
    <w:rsid w:val="00AC56EF"/>
    <w:rsid w:val="00AD080E"/>
    <w:rsid w:val="00AD3342"/>
    <w:rsid w:val="00AD4431"/>
    <w:rsid w:val="00AD4FA6"/>
    <w:rsid w:val="00AD5EC8"/>
    <w:rsid w:val="00AE5D7C"/>
    <w:rsid w:val="00AF212D"/>
    <w:rsid w:val="00AF32C9"/>
    <w:rsid w:val="00AF5759"/>
    <w:rsid w:val="00B026A9"/>
    <w:rsid w:val="00B06078"/>
    <w:rsid w:val="00B108BB"/>
    <w:rsid w:val="00B2127A"/>
    <w:rsid w:val="00B2440F"/>
    <w:rsid w:val="00B2501D"/>
    <w:rsid w:val="00B2631B"/>
    <w:rsid w:val="00B316BC"/>
    <w:rsid w:val="00B355B6"/>
    <w:rsid w:val="00B36970"/>
    <w:rsid w:val="00B37C4C"/>
    <w:rsid w:val="00B42D7F"/>
    <w:rsid w:val="00B45112"/>
    <w:rsid w:val="00B47EBD"/>
    <w:rsid w:val="00B50C1C"/>
    <w:rsid w:val="00B55E22"/>
    <w:rsid w:val="00B56678"/>
    <w:rsid w:val="00B60830"/>
    <w:rsid w:val="00B61218"/>
    <w:rsid w:val="00B71000"/>
    <w:rsid w:val="00B711D4"/>
    <w:rsid w:val="00B71857"/>
    <w:rsid w:val="00B74ADD"/>
    <w:rsid w:val="00B75A9C"/>
    <w:rsid w:val="00B800D0"/>
    <w:rsid w:val="00B81775"/>
    <w:rsid w:val="00B877D4"/>
    <w:rsid w:val="00B87C55"/>
    <w:rsid w:val="00B92B34"/>
    <w:rsid w:val="00B94342"/>
    <w:rsid w:val="00B97D5F"/>
    <w:rsid w:val="00BA0A70"/>
    <w:rsid w:val="00BA0D6A"/>
    <w:rsid w:val="00BA3EDD"/>
    <w:rsid w:val="00BA475B"/>
    <w:rsid w:val="00BB7711"/>
    <w:rsid w:val="00BC0266"/>
    <w:rsid w:val="00BC2E54"/>
    <w:rsid w:val="00BC3C35"/>
    <w:rsid w:val="00BC4984"/>
    <w:rsid w:val="00BD14AF"/>
    <w:rsid w:val="00BD4E15"/>
    <w:rsid w:val="00BD7DD0"/>
    <w:rsid w:val="00BE543B"/>
    <w:rsid w:val="00BF177E"/>
    <w:rsid w:val="00BF31E6"/>
    <w:rsid w:val="00BF3D51"/>
    <w:rsid w:val="00C01A74"/>
    <w:rsid w:val="00C0702D"/>
    <w:rsid w:val="00C07695"/>
    <w:rsid w:val="00C1228A"/>
    <w:rsid w:val="00C1264F"/>
    <w:rsid w:val="00C14613"/>
    <w:rsid w:val="00C22478"/>
    <w:rsid w:val="00C30792"/>
    <w:rsid w:val="00C33BDC"/>
    <w:rsid w:val="00C360FC"/>
    <w:rsid w:val="00C449BD"/>
    <w:rsid w:val="00C52E1A"/>
    <w:rsid w:val="00C53858"/>
    <w:rsid w:val="00C55633"/>
    <w:rsid w:val="00C57130"/>
    <w:rsid w:val="00C60530"/>
    <w:rsid w:val="00C610D2"/>
    <w:rsid w:val="00C61373"/>
    <w:rsid w:val="00C6236B"/>
    <w:rsid w:val="00C65E01"/>
    <w:rsid w:val="00C72259"/>
    <w:rsid w:val="00C72B5C"/>
    <w:rsid w:val="00C76D89"/>
    <w:rsid w:val="00C80D60"/>
    <w:rsid w:val="00C84BCD"/>
    <w:rsid w:val="00C875BF"/>
    <w:rsid w:val="00C90481"/>
    <w:rsid w:val="00C92116"/>
    <w:rsid w:val="00C9247E"/>
    <w:rsid w:val="00C938EF"/>
    <w:rsid w:val="00C94133"/>
    <w:rsid w:val="00C96044"/>
    <w:rsid w:val="00CA0346"/>
    <w:rsid w:val="00CA0B3C"/>
    <w:rsid w:val="00CA5681"/>
    <w:rsid w:val="00CA63FD"/>
    <w:rsid w:val="00CA7273"/>
    <w:rsid w:val="00CB5B22"/>
    <w:rsid w:val="00CC2E45"/>
    <w:rsid w:val="00CC5629"/>
    <w:rsid w:val="00CC5897"/>
    <w:rsid w:val="00CD223C"/>
    <w:rsid w:val="00CD6ED7"/>
    <w:rsid w:val="00CD6FC9"/>
    <w:rsid w:val="00CE04B1"/>
    <w:rsid w:val="00CE118B"/>
    <w:rsid w:val="00CE2E70"/>
    <w:rsid w:val="00CE5F9D"/>
    <w:rsid w:val="00CE7D30"/>
    <w:rsid w:val="00CF0ED7"/>
    <w:rsid w:val="00CF5289"/>
    <w:rsid w:val="00CF7D55"/>
    <w:rsid w:val="00D00C52"/>
    <w:rsid w:val="00D0623F"/>
    <w:rsid w:val="00D10FDD"/>
    <w:rsid w:val="00D12465"/>
    <w:rsid w:val="00D13F0C"/>
    <w:rsid w:val="00D14D0C"/>
    <w:rsid w:val="00D2613F"/>
    <w:rsid w:val="00D267E1"/>
    <w:rsid w:val="00D31619"/>
    <w:rsid w:val="00D331AC"/>
    <w:rsid w:val="00D33E3F"/>
    <w:rsid w:val="00D348D0"/>
    <w:rsid w:val="00D34F55"/>
    <w:rsid w:val="00D35527"/>
    <w:rsid w:val="00D40936"/>
    <w:rsid w:val="00D43C76"/>
    <w:rsid w:val="00D60163"/>
    <w:rsid w:val="00D63193"/>
    <w:rsid w:val="00D65A64"/>
    <w:rsid w:val="00D83090"/>
    <w:rsid w:val="00D8429C"/>
    <w:rsid w:val="00D84C7A"/>
    <w:rsid w:val="00D85C3F"/>
    <w:rsid w:val="00D93720"/>
    <w:rsid w:val="00DB0786"/>
    <w:rsid w:val="00DB1AE5"/>
    <w:rsid w:val="00DB5BC6"/>
    <w:rsid w:val="00DB67E2"/>
    <w:rsid w:val="00DB737D"/>
    <w:rsid w:val="00DC161F"/>
    <w:rsid w:val="00DC1DD2"/>
    <w:rsid w:val="00DC6FCB"/>
    <w:rsid w:val="00DD053A"/>
    <w:rsid w:val="00DD3A63"/>
    <w:rsid w:val="00DD5F2C"/>
    <w:rsid w:val="00DD7813"/>
    <w:rsid w:val="00DE02FF"/>
    <w:rsid w:val="00DE24CD"/>
    <w:rsid w:val="00DE24F8"/>
    <w:rsid w:val="00DE257E"/>
    <w:rsid w:val="00DE2F24"/>
    <w:rsid w:val="00DE65A5"/>
    <w:rsid w:val="00DE7C2C"/>
    <w:rsid w:val="00DE7D12"/>
    <w:rsid w:val="00DF0291"/>
    <w:rsid w:val="00DF0313"/>
    <w:rsid w:val="00DF0397"/>
    <w:rsid w:val="00DF4DFF"/>
    <w:rsid w:val="00DF5674"/>
    <w:rsid w:val="00E0795B"/>
    <w:rsid w:val="00E1030F"/>
    <w:rsid w:val="00E11120"/>
    <w:rsid w:val="00E1166A"/>
    <w:rsid w:val="00E1191F"/>
    <w:rsid w:val="00E1555E"/>
    <w:rsid w:val="00E17304"/>
    <w:rsid w:val="00E200F1"/>
    <w:rsid w:val="00E221A3"/>
    <w:rsid w:val="00E23855"/>
    <w:rsid w:val="00E26E0C"/>
    <w:rsid w:val="00E271DB"/>
    <w:rsid w:val="00E318E8"/>
    <w:rsid w:val="00E36F50"/>
    <w:rsid w:val="00E42878"/>
    <w:rsid w:val="00E46A49"/>
    <w:rsid w:val="00E47A3E"/>
    <w:rsid w:val="00E50077"/>
    <w:rsid w:val="00E5152D"/>
    <w:rsid w:val="00E54E32"/>
    <w:rsid w:val="00E5505B"/>
    <w:rsid w:val="00E56E25"/>
    <w:rsid w:val="00E56E87"/>
    <w:rsid w:val="00E573BF"/>
    <w:rsid w:val="00E70ABD"/>
    <w:rsid w:val="00E72138"/>
    <w:rsid w:val="00E7296D"/>
    <w:rsid w:val="00E736BE"/>
    <w:rsid w:val="00E8132E"/>
    <w:rsid w:val="00E834DE"/>
    <w:rsid w:val="00E85FEC"/>
    <w:rsid w:val="00E86CD0"/>
    <w:rsid w:val="00E87CF2"/>
    <w:rsid w:val="00E9092E"/>
    <w:rsid w:val="00E946C4"/>
    <w:rsid w:val="00EA026B"/>
    <w:rsid w:val="00EA23DD"/>
    <w:rsid w:val="00EA2819"/>
    <w:rsid w:val="00EA4C3E"/>
    <w:rsid w:val="00EA50D8"/>
    <w:rsid w:val="00EB25C4"/>
    <w:rsid w:val="00EB2A39"/>
    <w:rsid w:val="00EB4623"/>
    <w:rsid w:val="00EB7CEB"/>
    <w:rsid w:val="00EC2BB0"/>
    <w:rsid w:val="00EC3AF2"/>
    <w:rsid w:val="00EC443C"/>
    <w:rsid w:val="00EC4EFE"/>
    <w:rsid w:val="00EC7525"/>
    <w:rsid w:val="00ED0378"/>
    <w:rsid w:val="00ED32BC"/>
    <w:rsid w:val="00ED4204"/>
    <w:rsid w:val="00ED74C1"/>
    <w:rsid w:val="00EE4225"/>
    <w:rsid w:val="00EF54D4"/>
    <w:rsid w:val="00EF5B08"/>
    <w:rsid w:val="00EF61C0"/>
    <w:rsid w:val="00EF7077"/>
    <w:rsid w:val="00F00A7B"/>
    <w:rsid w:val="00F01200"/>
    <w:rsid w:val="00F06905"/>
    <w:rsid w:val="00F10D2B"/>
    <w:rsid w:val="00F116F9"/>
    <w:rsid w:val="00F117B6"/>
    <w:rsid w:val="00F12465"/>
    <w:rsid w:val="00F15CED"/>
    <w:rsid w:val="00F207FE"/>
    <w:rsid w:val="00F21013"/>
    <w:rsid w:val="00F30330"/>
    <w:rsid w:val="00F312EE"/>
    <w:rsid w:val="00F3235A"/>
    <w:rsid w:val="00F33FFF"/>
    <w:rsid w:val="00F34B32"/>
    <w:rsid w:val="00F360E5"/>
    <w:rsid w:val="00F3675A"/>
    <w:rsid w:val="00F4594D"/>
    <w:rsid w:val="00F46810"/>
    <w:rsid w:val="00F515F9"/>
    <w:rsid w:val="00F517A3"/>
    <w:rsid w:val="00F525F3"/>
    <w:rsid w:val="00F52B8E"/>
    <w:rsid w:val="00F540C1"/>
    <w:rsid w:val="00F577FB"/>
    <w:rsid w:val="00F74537"/>
    <w:rsid w:val="00F773FA"/>
    <w:rsid w:val="00F80115"/>
    <w:rsid w:val="00F82991"/>
    <w:rsid w:val="00F82EA0"/>
    <w:rsid w:val="00F840A4"/>
    <w:rsid w:val="00F84ABC"/>
    <w:rsid w:val="00F90CC8"/>
    <w:rsid w:val="00F92D8F"/>
    <w:rsid w:val="00F93590"/>
    <w:rsid w:val="00FA1583"/>
    <w:rsid w:val="00FB0807"/>
    <w:rsid w:val="00FB0931"/>
    <w:rsid w:val="00FB266D"/>
    <w:rsid w:val="00FC381C"/>
    <w:rsid w:val="00FC3FA6"/>
    <w:rsid w:val="00FC57D9"/>
    <w:rsid w:val="00FD1115"/>
    <w:rsid w:val="00FD524A"/>
    <w:rsid w:val="00FD56A2"/>
    <w:rsid w:val="00FD6455"/>
    <w:rsid w:val="00FD6AEA"/>
    <w:rsid w:val="00FD7521"/>
    <w:rsid w:val="00FE058E"/>
    <w:rsid w:val="00FE10A2"/>
    <w:rsid w:val="00FE16C8"/>
    <w:rsid w:val="00FE1A8D"/>
    <w:rsid w:val="00FE3597"/>
    <w:rsid w:val="00FE5E24"/>
    <w:rsid w:val="00FF000D"/>
    <w:rsid w:val="00FF32EA"/>
    <w:rsid w:val="00FF3347"/>
    <w:rsid w:val="00FF33F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37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946C4"/>
    <w:pPr>
      <w:tabs>
        <w:tab w:val="center" w:pos="4536"/>
        <w:tab w:val="right" w:pos="9072"/>
      </w:tabs>
      <w:spacing w:line="240" w:lineRule="auto"/>
    </w:pPr>
  </w:style>
  <w:style w:type="character" w:customStyle="1" w:styleId="En-tteCar">
    <w:name w:val="En-tête Car"/>
    <w:basedOn w:val="Policepardfaut"/>
    <w:link w:val="En-tte"/>
    <w:uiPriority w:val="99"/>
    <w:rsid w:val="00E946C4"/>
  </w:style>
  <w:style w:type="paragraph" w:styleId="Pieddepage">
    <w:name w:val="footer"/>
    <w:basedOn w:val="Normal"/>
    <w:link w:val="PieddepageCar"/>
    <w:uiPriority w:val="99"/>
    <w:unhideWhenUsed/>
    <w:rsid w:val="00E946C4"/>
    <w:pPr>
      <w:tabs>
        <w:tab w:val="center" w:pos="4536"/>
        <w:tab w:val="right" w:pos="9072"/>
      </w:tabs>
      <w:spacing w:line="240" w:lineRule="auto"/>
    </w:pPr>
  </w:style>
  <w:style w:type="character" w:customStyle="1" w:styleId="PieddepageCar">
    <w:name w:val="Pied de page Car"/>
    <w:basedOn w:val="Policepardfaut"/>
    <w:link w:val="Pieddepage"/>
    <w:uiPriority w:val="99"/>
    <w:rsid w:val="00E946C4"/>
  </w:style>
  <w:style w:type="paragraph" w:styleId="Paragraphedeliste">
    <w:name w:val="List Paragraph"/>
    <w:basedOn w:val="Normal"/>
    <w:uiPriority w:val="34"/>
    <w:qFormat/>
    <w:rsid w:val="00491140"/>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AC05D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05D9"/>
    <w:rPr>
      <w:rFonts w:ascii="Tahoma" w:hAnsi="Tahoma" w:cs="Tahoma"/>
      <w:sz w:val="16"/>
      <w:szCs w:val="16"/>
    </w:rPr>
  </w:style>
  <w:style w:type="table" w:styleId="Grilledutableau">
    <w:name w:val="Table Grid"/>
    <w:basedOn w:val="TableauNormal"/>
    <w:uiPriority w:val="59"/>
    <w:rsid w:val="00F33FFF"/>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1E2BB2"/>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CM113">
    <w:name w:val="CM113"/>
    <w:basedOn w:val="Default"/>
    <w:next w:val="Default"/>
    <w:uiPriority w:val="99"/>
    <w:rsid w:val="0073553E"/>
    <w:rPr>
      <w:rFonts w:eastAsia="Lucida Sans Unicode"/>
      <w:color w:val="auto"/>
    </w:rPr>
  </w:style>
  <w:style w:type="character" w:styleId="Lienhypertexte">
    <w:name w:val="Hyperlink"/>
    <w:basedOn w:val="Policepardfaut"/>
    <w:uiPriority w:val="99"/>
    <w:unhideWhenUsed/>
    <w:rsid w:val="00735697"/>
    <w:rPr>
      <w:color w:val="0000FF" w:themeColor="hyperlink"/>
      <w:u w:val="single"/>
    </w:rPr>
  </w:style>
  <w:style w:type="character" w:customStyle="1" w:styleId="UnresolvedMention">
    <w:name w:val="Unresolved Mention"/>
    <w:basedOn w:val="Policepardfaut"/>
    <w:uiPriority w:val="99"/>
    <w:semiHidden/>
    <w:unhideWhenUsed/>
    <w:rsid w:val="004A525B"/>
    <w:rPr>
      <w:color w:val="605E5C"/>
      <w:shd w:val="clear" w:color="auto" w:fill="E1DFDD"/>
    </w:rPr>
  </w:style>
  <w:style w:type="paragraph" w:customStyle="1" w:styleId="IEEEAuthorName">
    <w:name w:val="IEEE Author Name"/>
    <w:basedOn w:val="Normal"/>
    <w:next w:val="Normal"/>
    <w:rsid w:val="00781511"/>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character" w:styleId="Accentuation">
    <w:name w:val="Emphasis"/>
    <w:basedOn w:val="Policepardfaut"/>
    <w:uiPriority w:val="20"/>
    <w:qFormat/>
    <w:rsid w:val="00781511"/>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egs.rnu.tn/eng/hom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fsegs.rnu.tn/eng/hom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rimeg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06B82-E077-4EDE-8B56-0436FF73E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20</Pages>
  <Words>6478</Words>
  <Characters>35629</Characters>
  <Application>Microsoft Office Word</Application>
  <DocSecurity>0</DocSecurity>
  <Lines>296</Lines>
  <Paragraphs>84</Paragraphs>
  <ScaleCrop>false</ScaleCrop>
  <HeadingPairs>
    <vt:vector size="2" baseType="variant">
      <vt:variant>
        <vt:lpstr>Titre</vt:lpstr>
      </vt:variant>
      <vt:variant>
        <vt:i4>1</vt:i4>
      </vt:variant>
    </vt:vector>
  </HeadingPairs>
  <TitlesOfParts>
    <vt:vector size="1" baseType="lpstr">
      <vt:lpstr>INTITULE DE L’ARTICLE AU MAJUSCULE, CALIBRI 12, CENTRE, INTERLIGNE SIMPLE</vt:lpstr>
    </vt:vector>
  </TitlesOfParts>
  <Company>Microsoft</Company>
  <LinksUpToDate>false</LinksUpToDate>
  <CharactersWithSpaces>42023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INTITULE DE L’ARTICLE AU MAJUSCULE, CALIBRI 12, CENTRE, INTERLIGNE SIMPLE</dc:title>
  <dc:creator>HP</dc:creator>
  <cp:lastModifiedBy>Samsung</cp:lastModifiedBy>
  <cp:revision>17</cp:revision>
  <cp:lastPrinted>2018-02-14T02:59:00Z</cp:lastPrinted>
  <dcterms:created xsi:type="dcterms:W3CDTF">2020-12-25T11:36:00Z</dcterms:created>
  <dcterms:modified xsi:type="dcterms:W3CDTF">2024-10-23T20:54:00Z</dcterms:modified>
</cp:coreProperties>
</file>